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E4C3A" w14:textId="445BF9E4" w:rsidR="004633B0" w:rsidRPr="002C5C21" w:rsidRDefault="00870EEA" w:rsidP="004633B0">
      <w:pPr>
        <w:pStyle w:val="Heading1"/>
        <w:spacing w:before="0" w:line="240" w:lineRule="auto"/>
        <w:rPr>
          <w:rFonts w:ascii="Calibri" w:hAnsi="Calibri" w:cs="Calibri"/>
          <w:color w:val="auto"/>
        </w:rPr>
      </w:pPr>
      <w:r w:rsidRPr="0056086A">
        <w:rPr>
          <w:rFonts w:ascii="Calibri" w:hAnsi="Calibri" w:cs="Calibri"/>
          <w:color w:val="auto"/>
        </w:rPr>
        <w:t xml:space="preserve">Below is a compilation of the questions and answers received </w:t>
      </w:r>
      <w:r w:rsidR="000A6B35">
        <w:rPr>
          <w:rFonts w:ascii="Calibri" w:hAnsi="Calibri" w:cs="Calibri"/>
          <w:color w:val="auto"/>
        </w:rPr>
        <w:t>from the</w:t>
      </w:r>
      <w:r w:rsidRPr="0056086A">
        <w:rPr>
          <w:rFonts w:ascii="Calibri" w:hAnsi="Calibri" w:cs="Calibri"/>
          <w:color w:val="auto"/>
        </w:rPr>
        <w:t xml:space="preserve"> GL71 reveal at the </w:t>
      </w:r>
      <w:r w:rsidR="00CF7F95">
        <w:rPr>
          <w:rFonts w:ascii="Calibri" w:hAnsi="Calibri" w:cs="Calibri"/>
          <w:color w:val="auto"/>
        </w:rPr>
        <w:t xml:space="preserve">April 2025 DAS </w:t>
      </w:r>
      <w:r w:rsidRPr="0056086A">
        <w:rPr>
          <w:rFonts w:ascii="Calibri" w:hAnsi="Calibri" w:cs="Calibri"/>
          <w:color w:val="auto"/>
        </w:rPr>
        <w:t>Procurement Forum</w:t>
      </w:r>
      <w:r w:rsidR="008F21AC">
        <w:rPr>
          <w:rFonts w:ascii="Calibri" w:hAnsi="Calibri" w:cs="Calibri"/>
          <w:color w:val="auto"/>
        </w:rPr>
        <w:t>,</w:t>
      </w:r>
      <w:r w:rsidR="008F21AC" w:rsidRPr="001A2915">
        <w:rPr>
          <w:rFonts w:ascii="Calibri" w:hAnsi="Calibri" w:cs="Calibri"/>
          <w:color w:val="auto"/>
          <w:sz w:val="24"/>
          <w:szCs w:val="24"/>
        </w:rPr>
        <w:t xml:space="preserve"> </w:t>
      </w:r>
      <w:r w:rsidR="008F21AC" w:rsidRPr="002C5C21">
        <w:rPr>
          <w:rFonts w:ascii="Calibri" w:hAnsi="Calibri" w:cs="Calibri"/>
          <w:color w:val="auto"/>
        </w:rPr>
        <w:t>as well as those addressed during the June</w:t>
      </w:r>
      <w:r w:rsidR="00E93D6A">
        <w:rPr>
          <w:rFonts w:ascii="Calibri" w:hAnsi="Calibri" w:cs="Calibri"/>
          <w:color w:val="auto"/>
        </w:rPr>
        <w:t xml:space="preserve"> and July</w:t>
      </w:r>
      <w:r w:rsidR="008F21AC" w:rsidRPr="002C5C21">
        <w:rPr>
          <w:rFonts w:ascii="Calibri" w:hAnsi="Calibri" w:cs="Calibri"/>
          <w:color w:val="auto"/>
        </w:rPr>
        <w:t xml:space="preserve"> Open Forums. This document is intended to provide clarity and support</w:t>
      </w:r>
      <w:r w:rsidR="00D05228" w:rsidRPr="002C5C21">
        <w:rPr>
          <w:rFonts w:ascii="Calibri" w:hAnsi="Calibri" w:cs="Calibri"/>
          <w:color w:val="auto"/>
        </w:rPr>
        <w:t xml:space="preserve"> on a continual basis</w:t>
      </w:r>
      <w:r w:rsidR="008F21AC" w:rsidRPr="002C5C21">
        <w:rPr>
          <w:rFonts w:ascii="Calibri" w:hAnsi="Calibri" w:cs="Calibri"/>
          <w:color w:val="auto"/>
        </w:rPr>
        <w:t xml:space="preserve"> for agency procurement professionals as they apply the updated GL71 guidance. </w:t>
      </w:r>
    </w:p>
    <w:p w14:paraId="15449C15" w14:textId="0A6BA0A3" w:rsidR="004633B0" w:rsidRDefault="008F21AC" w:rsidP="004633B0">
      <w:pPr>
        <w:pStyle w:val="Heading1"/>
        <w:spacing w:before="0" w:line="240" w:lineRule="auto"/>
        <w:rPr>
          <w:rFonts w:ascii="Calibri" w:hAnsi="Calibri" w:cs="Calibri"/>
          <w:color w:val="auto"/>
        </w:rPr>
      </w:pPr>
      <w:r w:rsidRPr="0056086A">
        <w:rPr>
          <w:rFonts w:ascii="Calibri" w:hAnsi="Calibri" w:cs="Calibri"/>
          <w:color w:val="auto"/>
        </w:rPr>
        <w:t xml:space="preserve"> </w:t>
      </w:r>
    </w:p>
    <w:p w14:paraId="39755AAF" w14:textId="27D79A3B" w:rsidR="00136BD7" w:rsidRPr="0056086A" w:rsidRDefault="00870EEA" w:rsidP="004633B0">
      <w:pPr>
        <w:pStyle w:val="Heading1"/>
        <w:spacing w:before="0" w:line="240" w:lineRule="auto"/>
        <w:rPr>
          <w:rFonts w:ascii="Calibri" w:hAnsi="Calibri" w:cs="Calibri"/>
          <w:color w:val="auto"/>
        </w:rPr>
      </w:pPr>
      <w:r w:rsidRPr="0056086A">
        <w:rPr>
          <w:rFonts w:ascii="Calibri" w:hAnsi="Calibri" w:cs="Calibri"/>
          <w:color w:val="auto"/>
        </w:rPr>
        <w:t xml:space="preserve">Click the arrow before each category to expand and view the submitted questions and answers. Answers are highlighted in </w:t>
      </w:r>
      <w:r w:rsidRPr="0056086A">
        <w:rPr>
          <w:rFonts w:ascii="Calibri" w:hAnsi="Calibri" w:cs="Calibri"/>
          <w:color w:val="0070C0"/>
        </w:rPr>
        <w:t>blue</w:t>
      </w:r>
      <w:r w:rsidRPr="0056086A">
        <w:rPr>
          <w:rFonts w:ascii="Calibri" w:hAnsi="Calibri" w:cs="Calibri"/>
          <w:color w:val="auto"/>
        </w:rPr>
        <w:t xml:space="preserve"> for clarity</w:t>
      </w:r>
      <w:r w:rsidR="00CD0BDD" w:rsidRPr="0056086A">
        <w:rPr>
          <w:rFonts w:ascii="Calibri" w:hAnsi="Calibri" w:cs="Calibri"/>
          <w:color w:val="auto"/>
        </w:rPr>
        <w:t>.</w:t>
      </w:r>
    </w:p>
    <w:p w14:paraId="3BE51C1C" w14:textId="5A90CD04" w:rsidR="00E8100C" w:rsidRDefault="00E8100C" w:rsidP="00E8100C">
      <w:pPr>
        <w:pStyle w:val="Heading1"/>
        <w:numPr>
          <w:ilvl w:val="0"/>
          <w:numId w:val="7"/>
        </w:numPr>
        <w15:collapsed/>
        <w:rPr>
          <w:rFonts w:ascii="Calibri" w:hAnsi="Calibri" w:cs="Calibri"/>
          <w:color w:val="auto"/>
          <w:sz w:val="32"/>
          <w:szCs w:val="32"/>
        </w:rPr>
      </w:pPr>
      <w:r>
        <w:rPr>
          <w:rFonts w:ascii="Calibri" w:hAnsi="Calibri" w:cs="Calibri"/>
          <w:color w:val="auto"/>
          <w:sz w:val="32"/>
          <w:szCs w:val="32"/>
        </w:rPr>
        <w:t>Contracting, Posting &amp; CTsource Requirements</w:t>
      </w:r>
    </w:p>
    <w:p w14:paraId="5F7428F3" w14:textId="77777777" w:rsidR="00E8100C" w:rsidRPr="006804F3" w:rsidRDefault="00E8100C" w:rsidP="00E8100C">
      <w:pPr>
        <w:pStyle w:val="ListParagraph"/>
        <w:numPr>
          <w:ilvl w:val="1"/>
          <w:numId w:val="7"/>
        </w:numPr>
        <w:spacing w:after="160" w:line="278" w:lineRule="auto"/>
        <w:rPr>
          <w:rFonts w:ascii="Calibri" w:hAnsi="Calibri" w:cs="Calibri"/>
          <w:sz w:val="24"/>
          <w:szCs w:val="24"/>
        </w:rPr>
      </w:pPr>
      <w:r w:rsidRPr="006804F3">
        <w:rPr>
          <w:rFonts w:ascii="Calibri" w:hAnsi="Calibri" w:cs="Calibri"/>
          <w:sz w:val="24"/>
          <w:szCs w:val="24"/>
        </w:rPr>
        <w:t>Is there someone that we should reach out to or general mailbox for CTsource training?</w:t>
      </w:r>
    </w:p>
    <w:p w14:paraId="0653D6C3" w14:textId="77777777" w:rsidR="00E8100C" w:rsidRPr="006804F3" w:rsidRDefault="00E8100C" w:rsidP="00E8100C">
      <w:pPr>
        <w:pStyle w:val="ListParagraph"/>
        <w:spacing w:after="160" w:line="278" w:lineRule="auto"/>
        <w:ind w:left="1080"/>
        <w:rPr>
          <w:rFonts w:ascii="Calibri" w:hAnsi="Calibri" w:cs="Calibri"/>
          <w:sz w:val="24"/>
          <w:szCs w:val="24"/>
        </w:rPr>
      </w:pPr>
      <w:r w:rsidRPr="006804F3">
        <w:rPr>
          <w:rFonts w:ascii="Calibri" w:eastAsia="Segoe UI" w:hAnsi="Calibri" w:cs="Calibri"/>
          <w:color w:val="0070C0"/>
          <w:sz w:val="24"/>
          <w:szCs w:val="24"/>
        </w:rPr>
        <w:t xml:space="preserve">Email: </w:t>
      </w:r>
      <w:hyperlink r:id="rId11" w:history="1">
        <w:r w:rsidRPr="006804F3">
          <w:rPr>
            <w:rStyle w:val="Hyperlink"/>
            <w:rFonts w:ascii="Calibri" w:eastAsia="Segoe UI" w:hAnsi="Calibri" w:cs="Calibri"/>
            <w:sz w:val="24"/>
            <w:szCs w:val="24"/>
          </w:rPr>
          <w:t>das.ctsource@ct.gov</w:t>
        </w:r>
      </w:hyperlink>
    </w:p>
    <w:p w14:paraId="59629A34" w14:textId="2EEA8D99" w:rsidR="00E8100C" w:rsidRPr="00351532" w:rsidRDefault="00E8100C" w:rsidP="00E8100C">
      <w:pPr>
        <w:pStyle w:val="ListParagraph"/>
        <w:numPr>
          <w:ilvl w:val="1"/>
          <w:numId w:val="7"/>
        </w:numPr>
        <w:spacing w:after="160" w:line="278" w:lineRule="auto"/>
        <w:rPr>
          <w:rFonts w:ascii="Calibri" w:hAnsi="Calibri" w:cs="Calibri"/>
          <w:sz w:val="24"/>
          <w:szCs w:val="24"/>
        </w:rPr>
      </w:pPr>
      <w:r w:rsidRPr="00351532">
        <w:rPr>
          <w:rFonts w:ascii="Calibri" w:hAnsi="Calibri" w:cs="Calibri"/>
          <w:sz w:val="24"/>
          <w:szCs w:val="24"/>
        </w:rPr>
        <w:t xml:space="preserve">What is the contract posting requirement for purchases between $25K-$50K and $50K-$100K? </w:t>
      </w:r>
      <w:r w:rsidRPr="00351532">
        <w:rPr>
          <w:rFonts w:ascii="Calibri" w:hAnsi="Calibri" w:cs="Calibri"/>
          <w:sz w:val="24"/>
          <w:szCs w:val="24"/>
        </w:rPr>
        <w:br/>
      </w:r>
      <w:r w:rsidRPr="00351532">
        <w:rPr>
          <w:rFonts w:ascii="Calibri" w:hAnsi="Calibri" w:cs="Calibri"/>
          <w:color w:val="0070C0"/>
          <w:sz w:val="24"/>
          <w:szCs w:val="24"/>
        </w:rPr>
        <w:t>Pursuant to Connecticut General Statute 4e-13, all contracts must be posted on the State Contracting Portal (CTsource).</w:t>
      </w:r>
    </w:p>
    <w:p w14:paraId="36C2B2E7" w14:textId="77777777" w:rsidR="00E8100C" w:rsidRPr="00351532" w:rsidRDefault="00E8100C" w:rsidP="00E8100C">
      <w:pPr>
        <w:pStyle w:val="ListParagraph"/>
        <w:numPr>
          <w:ilvl w:val="1"/>
          <w:numId w:val="7"/>
        </w:numPr>
        <w:spacing w:after="160" w:line="278" w:lineRule="auto"/>
        <w:rPr>
          <w:rFonts w:ascii="Calibri" w:hAnsi="Calibri" w:cs="Calibri"/>
          <w:sz w:val="24"/>
          <w:szCs w:val="24"/>
        </w:rPr>
      </w:pPr>
      <w:r w:rsidRPr="00351532">
        <w:rPr>
          <w:rFonts w:ascii="Calibri" w:hAnsi="Calibri" w:cs="Calibri"/>
          <w:sz w:val="24"/>
          <w:szCs w:val="24"/>
        </w:rPr>
        <w:t xml:space="preserve">According to GL71, for services valued between $50,000 and $100,000, </w:t>
      </w:r>
      <w:proofErr w:type="gramStart"/>
      <w:r w:rsidRPr="00351532">
        <w:rPr>
          <w:rFonts w:ascii="Calibri" w:hAnsi="Calibri" w:cs="Calibri"/>
          <w:sz w:val="24"/>
          <w:szCs w:val="24"/>
        </w:rPr>
        <w:t>must agencies</w:t>
      </w:r>
      <w:proofErr w:type="gramEnd"/>
      <w:r w:rsidRPr="00351532">
        <w:rPr>
          <w:rFonts w:ascii="Calibri" w:hAnsi="Calibri" w:cs="Calibri"/>
          <w:sz w:val="24"/>
          <w:szCs w:val="24"/>
        </w:rPr>
        <w:t xml:space="preserve"> post bids on CTsource or is emailing three vendors sufficient?</w:t>
      </w:r>
      <w:r w:rsidRPr="00351532">
        <w:rPr>
          <w:rFonts w:ascii="Calibri" w:hAnsi="Calibri" w:cs="Calibri"/>
          <w:sz w:val="24"/>
          <w:szCs w:val="24"/>
        </w:rPr>
        <w:br/>
      </w:r>
      <w:r w:rsidRPr="00351532">
        <w:rPr>
          <w:rFonts w:ascii="Calibri" w:hAnsi="Calibri" w:cs="Calibri"/>
          <w:color w:val="0070C0"/>
          <w:sz w:val="24"/>
          <w:szCs w:val="24"/>
        </w:rPr>
        <w:t>Bids must be posted on CTsource.</w:t>
      </w:r>
    </w:p>
    <w:p w14:paraId="665624FA" w14:textId="77777777" w:rsidR="00E8100C" w:rsidRPr="00351532" w:rsidRDefault="00E8100C" w:rsidP="00E8100C">
      <w:pPr>
        <w:pStyle w:val="ListParagraph"/>
        <w:numPr>
          <w:ilvl w:val="1"/>
          <w:numId w:val="7"/>
        </w:numPr>
        <w:spacing w:after="160" w:line="278" w:lineRule="auto"/>
        <w:rPr>
          <w:rFonts w:ascii="Calibri" w:hAnsi="Calibri" w:cs="Calibri"/>
          <w:color w:val="0070C0"/>
          <w:sz w:val="24"/>
          <w:szCs w:val="24"/>
        </w:rPr>
      </w:pPr>
      <w:r w:rsidRPr="00351532">
        <w:rPr>
          <w:rFonts w:ascii="Calibri" w:hAnsi="Calibri" w:cs="Calibri"/>
          <w:sz w:val="24"/>
          <w:szCs w:val="24"/>
        </w:rPr>
        <w:t>Any purchase over $25k and under $50k needs the three-page contract to be executed, correct?</w:t>
      </w:r>
      <w:r w:rsidRPr="00351532">
        <w:rPr>
          <w:rFonts w:ascii="Calibri" w:hAnsi="Calibri" w:cs="Calibri"/>
          <w:sz w:val="24"/>
          <w:szCs w:val="24"/>
        </w:rPr>
        <w:br/>
      </w:r>
      <w:r w:rsidRPr="00351532">
        <w:rPr>
          <w:rFonts w:ascii="Calibri" w:hAnsi="Calibri" w:cs="Calibri"/>
          <w:color w:val="0070C0"/>
          <w:sz w:val="24"/>
          <w:szCs w:val="24"/>
        </w:rPr>
        <w:t>Correct</w:t>
      </w:r>
    </w:p>
    <w:p w14:paraId="11D57B97" w14:textId="77777777" w:rsidR="00E8100C" w:rsidRPr="00E9008D" w:rsidRDefault="00E8100C" w:rsidP="00E8100C">
      <w:pPr>
        <w:pStyle w:val="ListParagraph"/>
        <w:numPr>
          <w:ilvl w:val="1"/>
          <w:numId w:val="7"/>
        </w:numPr>
      </w:pPr>
      <w:r w:rsidRPr="00351532">
        <w:rPr>
          <w:rFonts w:ascii="Calibri" w:hAnsi="Calibri" w:cs="Calibri"/>
          <w:sz w:val="24"/>
          <w:szCs w:val="24"/>
        </w:rPr>
        <w:t>Please explain CT Source procedure</w:t>
      </w:r>
      <w:r w:rsidRPr="00351532">
        <w:rPr>
          <w:rFonts w:ascii="Calibri" w:hAnsi="Calibri" w:cs="Calibri"/>
          <w:sz w:val="24"/>
          <w:szCs w:val="24"/>
        </w:rPr>
        <w:br/>
      </w:r>
      <w:r w:rsidRPr="00351532">
        <w:rPr>
          <w:rFonts w:ascii="Calibri" w:hAnsi="Calibri" w:cs="Calibri"/>
          <w:color w:val="0070C0"/>
          <w:sz w:val="24"/>
          <w:szCs w:val="24"/>
        </w:rPr>
        <w:t>CTsource is</w:t>
      </w:r>
      <w:r w:rsidRPr="0081577B">
        <w:rPr>
          <w:rFonts w:ascii="Calibri" w:hAnsi="Calibri" w:cs="Calibri"/>
          <w:color w:val="0070C0"/>
          <w:sz w:val="24"/>
          <w:szCs w:val="24"/>
        </w:rPr>
        <w:t xml:space="preserve"> used to advertise solicitations and post contracts to the Contract Board.</w:t>
      </w:r>
    </w:p>
    <w:p w14:paraId="45F3117E" w14:textId="77777777" w:rsidR="00E8100C" w:rsidRPr="00323C0B" w:rsidRDefault="00E8100C" w:rsidP="00E8100C">
      <w:pPr>
        <w:pStyle w:val="ListParagraph"/>
        <w:numPr>
          <w:ilvl w:val="1"/>
          <w:numId w:val="7"/>
        </w:numPr>
        <w:spacing w:after="160" w:line="278" w:lineRule="auto"/>
        <w:rPr>
          <w:rFonts w:ascii="Calibri" w:hAnsi="Calibri" w:cs="Calibri"/>
          <w:sz w:val="24"/>
          <w:szCs w:val="24"/>
        </w:rPr>
      </w:pPr>
      <w:r w:rsidRPr="00323C0B">
        <w:rPr>
          <w:rFonts w:ascii="Calibri" w:hAnsi="Calibri" w:cs="Calibri"/>
          <w:sz w:val="24"/>
          <w:szCs w:val="24"/>
        </w:rPr>
        <w:t>Can you please cover in more detail the requirement of a contract when utilizing GL-71.  Who signs the contract?  What other documents are required prior to posting to CT Source?  Is there a link with more information on the issuance of a contract prior to issuing a purchase order?</w:t>
      </w:r>
    </w:p>
    <w:p w14:paraId="18F2ED1C" w14:textId="77777777" w:rsidR="00E8100C" w:rsidRPr="00323C0B" w:rsidRDefault="00E8100C" w:rsidP="00E8100C">
      <w:pPr>
        <w:pStyle w:val="ListParagraph"/>
        <w:numPr>
          <w:ilvl w:val="0"/>
          <w:numId w:val="24"/>
        </w:numPr>
        <w:spacing w:after="160" w:line="278" w:lineRule="auto"/>
        <w:rPr>
          <w:rFonts w:asciiTheme="majorHAnsi" w:hAnsiTheme="majorHAnsi" w:cstheme="majorHAnsi"/>
          <w:color w:val="0070C0"/>
          <w:sz w:val="24"/>
          <w:szCs w:val="24"/>
        </w:rPr>
      </w:pPr>
      <w:r w:rsidRPr="00323C0B">
        <w:rPr>
          <w:rFonts w:asciiTheme="majorHAnsi" w:hAnsiTheme="majorHAnsi" w:cstheme="majorHAnsi"/>
          <w:color w:val="0070C0"/>
          <w:sz w:val="24"/>
          <w:szCs w:val="24"/>
        </w:rPr>
        <w:t xml:space="preserve">The contract must be signed by the awarded </w:t>
      </w:r>
      <w:proofErr w:type="gramStart"/>
      <w:r w:rsidRPr="00323C0B">
        <w:rPr>
          <w:rFonts w:asciiTheme="majorHAnsi" w:hAnsiTheme="majorHAnsi" w:cstheme="majorHAnsi"/>
          <w:color w:val="0070C0"/>
          <w:sz w:val="24"/>
          <w:szCs w:val="24"/>
        </w:rPr>
        <w:t>Contractor,</w:t>
      </w:r>
      <w:proofErr w:type="gramEnd"/>
      <w:r w:rsidRPr="00323C0B">
        <w:rPr>
          <w:rFonts w:asciiTheme="majorHAnsi" w:hAnsiTheme="majorHAnsi" w:cstheme="majorHAnsi"/>
          <w:color w:val="0070C0"/>
          <w:sz w:val="24"/>
          <w:szCs w:val="24"/>
        </w:rPr>
        <w:t xml:space="preserve"> Agency Authorized Signatory and the Attorney General.</w:t>
      </w:r>
    </w:p>
    <w:p w14:paraId="3A7F18F3" w14:textId="77777777" w:rsidR="00E8100C" w:rsidRPr="00323C0B" w:rsidRDefault="00E8100C" w:rsidP="00E8100C">
      <w:pPr>
        <w:pStyle w:val="ListParagraph"/>
        <w:numPr>
          <w:ilvl w:val="0"/>
          <w:numId w:val="24"/>
        </w:numPr>
        <w:spacing w:after="160" w:line="278" w:lineRule="auto"/>
        <w:rPr>
          <w:rFonts w:asciiTheme="majorHAnsi" w:hAnsiTheme="majorHAnsi" w:cstheme="majorHAnsi"/>
          <w:color w:val="0070C0"/>
          <w:sz w:val="24"/>
          <w:szCs w:val="24"/>
        </w:rPr>
      </w:pPr>
      <w:r w:rsidRPr="00323C0B">
        <w:rPr>
          <w:rFonts w:asciiTheme="majorHAnsi" w:hAnsiTheme="majorHAnsi" w:cstheme="majorHAnsi"/>
          <w:color w:val="0070C0"/>
          <w:sz w:val="24"/>
          <w:szCs w:val="24"/>
        </w:rPr>
        <w:t>Required documents from awarded Contractor</w:t>
      </w:r>
      <w:r>
        <w:rPr>
          <w:rFonts w:asciiTheme="majorHAnsi" w:hAnsiTheme="majorHAnsi" w:cstheme="majorHAnsi"/>
          <w:color w:val="0070C0"/>
          <w:sz w:val="24"/>
          <w:szCs w:val="24"/>
        </w:rPr>
        <w:t xml:space="preserve"> in addition to bid requirements</w:t>
      </w:r>
      <w:r w:rsidRPr="00323C0B">
        <w:rPr>
          <w:rFonts w:asciiTheme="majorHAnsi" w:hAnsiTheme="majorHAnsi" w:cstheme="majorHAnsi"/>
          <w:color w:val="0070C0"/>
          <w:sz w:val="24"/>
          <w:szCs w:val="24"/>
        </w:rPr>
        <w:t>:</w:t>
      </w:r>
    </w:p>
    <w:p w14:paraId="38ECEA95" w14:textId="77777777" w:rsidR="00E8100C" w:rsidRPr="00323C0B" w:rsidRDefault="00E8100C" w:rsidP="00E8100C">
      <w:pPr>
        <w:pStyle w:val="ListParagraph"/>
        <w:numPr>
          <w:ilvl w:val="2"/>
          <w:numId w:val="24"/>
        </w:numPr>
        <w:spacing w:after="160" w:line="278" w:lineRule="auto"/>
        <w:rPr>
          <w:rFonts w:asciiTheme="majorHAnsi" w:hAnsiTheme="majorHAnsi" w:cstheme="majorHAnsi"/>
          <w:color w:val="0070C0"/>
          <w:sz w:val="24"/>
          <w:szCs w:val="24"/>
        </w:rPr>
      </w:pPr>
      <w:r w:rsidRPr="00323C0B">
        <w:rPr>
          <w:rFonts w:asciiTheme="majorHAnsi" w:hAnsiTheme="majorHAnsi" w:cstheme="majorHAnsi"/>
          <w:color w:val="0070C0"/>
          <w:sz w:val="24"/>
          <w:szCs w:val="24"/>
        </w:rPr>
        <w:t>Certificate of Insurance (COI, ACORD form)</w:t>
      </w:r>
    </w:p>
    <w:p w14:paraId="73F03AD4" w14:textId="77777777" w:rsidR="00E8100C" w:rsidRPr="00323C0B" w:rsidRDefault="00E8100C" w:rsidP="00E8100C">
      <w:pPr>
        <w:pStyle w:val="ListParagraph"/>
        <w:numPr>
          <w:ilvl w:val="2"/>
          <w:numId w:val="24"/>
        </w:numPr>
        <w:spacing w:after="160" w:line="278" w:lineRule="auto"/>
        <w:rPr>
          <w:rFonts w:asciiTheme="majorHAnsi" w:hAnsiTheme="majorHAnsi" w:cstheme="majorHAnsi"/>
          <w:color w:val="0070C0"/>
          <w:sz w:val="24"/>
          <w:szCs w:val="24"/>
        </w:rPr>
      </w:pPr>
      <w:r w:rsidRPr="00323C0B">
        <w:rPr>
          <w:rFonts w:asciiTheme="majorHAnsi" w:hAnsiTheme="majorHAnsi" w:cstheme="majorHAnsi"/>
          <w:color w:val="0070C0"/>
          <w:sz w:val="24"/>
          <w:szCs w:val="24"/>
        </w:rPr>
        <w:t xml:space="preserve">OPM Form 1 (if contract is $50K or more). </w:t>
      </w:r>
    </w:p>
    <w:p w14:paraId="620DDC03" w14:textId="77777777" w:rsidR="00E8100C" w:rsidRPr="00323C0B" w:rsidRDefault="00E8100C" w:rsidP="00E8100C">
      <w:pPr>
        <w:pStyle w:val="ListParagraph"/>
        <w:numPr>
          <w:ilvl w:val="0"/>
          <w:numId w:val="24"/>
        </w:numPr>
        <w:spacing w:after="160" w:line="278" w:lineRule="auto"/>
        <w:rPr>
          <w:rFonts w:asciiTheme="majorHAnsi" w:hAnsiTheme="majorHAnsi" w:cstheme="majorHAnsi"/>
          <w:color w:val="0070C0"/>
          <w:sz w:val="24"/>
          <w:szCs w:val="24"/>
        </w:rPr>
      </w:pPr>
      <w:r w:rsidRPr="00323C0B">
        <w:rPr>
          <w:rFonts w:asciiTheme="majorHAnsi" w:hAnsiTheme="majorHAnsi" w:cstheme="majorHAnsi"/>
          <w:color w:val="0070C0"/>
          <w:sz w:val="24"/>
          <w:szCs w:val="24"/>
        </w:rPr>
        <w:t>Required documents for AG approval:</w:t>
      </w:r>
    </w:p>
    <w:p w14:paraId="48BE48D0" w14:textId="77777777" w:rsidR="00E8100C" w:rsidRPr="00323C0B" w:rsidRDefault="00E8100C" w:rsidP="00E8100C">
      <w:pPr>
        <w:pStyle w:val="ListParagraph"/>
        <w:numPr>
          <w:ilvl w:val="2"/>
          <w:numId w:val="24"/>
        </w:numPr>
        <w:spacing w:after="160" w:line="278" w:lineRule="auto"/>
        <w:rPr>
          <w:rFonts w:asciiTheme="majorHAnsi" w:hAnsiTheme="majorHAnsi" w:cstheme="majorHAnsi"/>
          <w:color w:val="0070C0"/>
          <w:sz w:val="24"/>
          <w:szCs w:val="24"/>
        </w:rPr>
      </w:pPr>
      <w:r w:rsidRPr="00323C0B">
        <w:rPr>
          <w:rFonts w:asciiTheme="majorHAnsi" w:hAnsiTheme="majorHAnsi" w:cstheme="majorHAnsi"/>
          <w:color w:val="0070C0"/>
          <w:sz w:val="24"/>
          <w:szCs w:val="24"/>
        </w:rPr>
        <w:t>AG Checklist - Contract Approval Request</w:t>
      </w:r>
    </w:p>
    <w:p w14:paraId="46FC38B7" w14:textId="77777777" w:rsidR="00E8100C" w:rsidRPr="00323C0B" w:rsidRDefault="00E8100C" w:rsidP="00E8100C">
      <w:pPr>
        <w:pStyle w:val="ListParagraph"/>
        <w:numPr>
          <w:ilvl w:val="2"/>
          <w:numId w:val="24"/>
        </w:numPr>
        <w:spacing w:after="160" w:line="278" w:lineRule="auto"/>
        <w:rPr>
          <w:rFonts w:asciiTheme="majorHAnsi" w:hAnsiTheme="majorHAnsi" w:cstheme="majorHAnsi"/>
          <w:color w:val="0070C0"/>
          <w:sz w:val="24"/>
          <w:szCs w:val="24"/>
        </w:rPr>
      </w:pPr>
      <w:r w:rsidRPr="00323C0B">
        <w:rPr>
          <w:rFonts w:asciiTheme="majorHAnsi" w:hAnsiTheme="majorHAnsi" w:cstheme="majorHAnsi"/>
          <w:color w:val="0070C0"/>
          <w:sz w:val="24"/>
          <w:szCs w:val="24"/>
        </w:rPr>
        <w:t>Agency Form Contract (based upon contract value)</w:t>
      </w:r>
    </w:p>
    <w:p w14:paraId="5518A690" w14:textId="77777777" w:rsidR="00E8100C" w:rsidRDefault="00E8100C" w:rsidP="00E8100C">
      <w:pPr>
        <w:pStyle w:val="ListParagraph"/>
        <w:numPr>
          <w:ilvl w:val="2"/>
          <w:numId w:val="24"/>
        </w:numPr>
        <w:spacing w:after="160" w:line="278" w:lineRule="auto"/>
        <w:rPr>
          <w:rFonts w:asciiTheme="majorHAnsi" w:hAnsiTheme="majorHAnsi" w:cstheme="majorHAnsi"/>
          <w:color w:val="0070C0"/>
          <w:sz w:val="24"/>
          <w:szCs w:val="24"/>
        </w:rPr>
      </w:pPr>
      <w:r w:rsidRPr="00323C0B">
        <w:rPr>
          <w:rFonts w:asciiTheme="majorHAnsi" w:hAnsiTheme="majorHAnsi" w:cstheme="majorHAnsi"/>
          <w:color w:val="0070C0"/>
          <w:sz w:val="24"/>
          <w:szCs w:val="24"/>
        </w:rPr>
        <w:t>Exhibit A (detailing goods/services and pricing)</w:t>
      </w:r>
    </w:p>
    <w:p w14:paraId="2DBAB33D" w14:textId="77777777" w:rsidR="00E8100C" w:rsidRPr="00323C0B" w:rsidRDefault="00E8100C" w:rsidP="00E8100C">
      <w:pPr>
        <w:pStyle w:val="ListParagraph"/>
        <w:numPr>
          <w:ilvl w:val="2"/>
          <w:numId w:val="24"/>
        </w:numPr>
        <w:spacing w:after="160" w:line="278" w:lineRule="auto"/>
        <w:rPr>
          <w:rFonts w:asciiTheme="majorHAnsi" w:hAnsiTheme="majorHAnsi" w:cstheme="majorHAnsi"/>
          <w:color w:val="0070C0"/>
          <w:sz w:val="24"/>
          <w:szCs w:val="24"/>
        </w:rPr>
      </w:pPr>
      <w:proofErr w:type="gramStart"/>
      <w:r>
        <w:rPr>
          <w:rFonts w:asciiTheme="majorHAnsi" w:hAnsiTheme="majorHAnsi" w:cstheme="majorHAnsi"/>
          <w:color w:val="0070C0"/>
          <w:sz w:val="24"/>
          <w:szCs w:val="24"/>
        </w:rPr>
        <w:t>Other</w:t>
      </w:r>
      <w:proofErr w:type="gramEnd"/>
      <w:r>
        <w:rPr>
          <w:rFonts w:asciiTheme="majorHAnsi" w:hAnsiTheme="majorHAnsi" w:cstheme="majorHAnsi"/>
          <w:color w:val="0070C0"/>
          <w:sz w:val="24"/>
          <w:szCs w:val="24"/>
        </w:rPr>
        <w:t xml:space="preserve"> contract exhibits as appliable.</w:t>
      </w:r>
    </w:p>
    <w:p w14:paraId="6E7AE53A" w14:textId="77777777" w:rsidR="00E8100C" w:rsidRPr="00323C0B" w:rsidRDefault="00E8100C" w:rsidP="00E8100C">
      <w:pPr>
        <w:pStyle w:val="ListParagraph"/>
        <w:numPr>
          <w:ilvl w:val="0"/>
          <w:numId w:val="24"/>
        </w:numPr>
        <w:spacing w:after="160" w:line="278" w:lineRule="auto"/>
        <w:rPr>
          <w:rFonts w:asciiTheme="majorHAnsi" w:hAnsiTheme="majorHAnsi" w:cstheme="majorHAnsi"/>
          <w:color w:val="0070C0"/>
          <w:sz w:val="24"/>
          <w:szCs w:val="24"/>
        </w:rPr>
      </w:pPr>
      <w:r w:rsidRPr="00323C0B">
        <w:rPr>
          <w:rFonts w:asciiTheme="majorHAnsi" w:hAnsiTheme="majorHAnsi" w:cstheme="majorHAnsi"/>
          <w:color w:val="0070C0"/>
          <w:sz w:val="24"/>
          <w:szCs w:val="24"/>
        </w:rPr>
        <w:t>Required documents for CTsource:</w:t>
      </w:r>
    </w:p>
    <w:p w14:paraId="7BB8D981" w14:textId="77777777" w:rsidR="00E8100C" w:rsidRPr="00323C0B" w:rsidRDefault="00E8100C" w:rsidP="00E8100C">
      <w:pPr>
        <w:pStyle w:val="ListParagraph"/>
        <w:numPr>
          <w:ilvl w:val="2"/>
          <w:numId w:val="24"/>
        </w:numPr>
        <w:spacing w:after="160" w:line="278" w:lineRule="auto"/>
        <w:rPr>
          <w:rFonts w:asciiTheme="majorHAnsi" w:hAnsiTheme="majorHAnsi" w:cstheme="majorHAnsi"/>
          <w:color w:val="0070C0"/>
          <w:sz w:val="24"/>
          <w:szCs w:val="24"/>
        </w:rPr>
      </w:pPr>
      <w:r w:rsidRPr="00323C0B">
        <w:rPr>
          <w:rFonts w:asciiTheme="majorHAnsi" w:hAnsiTheme="majorHAnsi" w:cstheme="majorHAnsi"/>
          <w:color w:val="0070C0"/>
          <w:sz w:val="24"/>
          <w:szCs w:val="24"/>
        </w:rPr>
        <w:t>Agency Form Contract (based upon contract value)</w:t>
      </w:r>
    </w:p>
    <w:p w14:paraId="7D7D1861" w14:textId="77777777" w:rsidR="00E8100C" w:rsidRDefault="00E8100C" w:rsidP="00E8100C">
      <w:pPr>
        <w:pStyle w:val="ListParagraph"/>
        <w:numPr>
          <w:ilvl w:val="2"/>
          <w:numId w:val="24"/>
        </w:numPr>
        <w:spacing w:after="160" w:line="278" w:lineRule="auto"/>
        <w:rPr>
          <w:rFonts w:asciiTheme="majorHAnsi" w:hAnsiTheme="majorHAnsi" w:cstheme="majorHAnsi"/>
          <w:color w:val="0070C0"/>
          <w:sz w:val="24"/>
          <w:szCs w:val="24"/>
        </w:rPr>
      </w:pPr>
      <w:r w:rsidRPr="00323C0B">
        <w:rPr>
          <w:rFonts w:asciiTheme="majorHAnsi" w:hAnsiTheme="majorHAnsi" w:cstheme="majorHAnsi"/>
          <w:color w:val="0070C0"/>
          <w:sz w:val="24"/>
          <w:szCs w:val="24"/>
        </w:rPr>
        <w:t>Exhibit A (detailing goods/services and pricing)</w:t>
      </w:r>
    </w:p>
    <w:p w14:paraId="431D3E72" w14:textId="77777777" w:rsidR="00E8100C" w:rsidRPr="00323C0B" w:rsidRDefault="00E8100C" w:rsidP="00E8100C">
      <w:pPr>
        <w:pStyle w:val="ListParagraph"/>
        <w:numPr>
          <w:ilvl w:val="2"/>
          <w:numId w:val="24"/>
        </w:numPr>
        <w:spacing w:after="160" w:line="278" w:lineRule="auto"/>
        <w:rPr>
          <w:rFonts w:asciiTheme="majorHAnsi" w:hAnsiTheme="majorHAnsi" w:cstheme="majorHAnsi"/>
          <w:color w:val="0070C0"/>
          <w:sz w:val="24"/>
          <w:szCs w:val="24"/>
        </w:rPr>
      </w:pPr>
      <w:proofErr w:type="gramStart"/>
      <w:r>
        <w:rPr>
          <w:rFonts w:asciiTheme="majorHAnsi" w:hAnsiTheme="majorHAnsi" w:cstheme="majorHAnsi"/>
          <w:color w:val="0070C0"/>
          <w:sz w:val="24"/>
          <w:szCs w:val="24"/>
        </w:rPr>
        <w:t>Other</w:t>
      </w:r>
      <w:proofErr w:type="gramEnd"/>
      <w:r>
        <w:rPr>
          <w:rFonts w:asciiTheme="majorHAnsi" w:hAnsiTheme="majorHAnsi" w:cstheme="majorHAnsi"/>
          <w:color w:val="0070C0"/>
          <w:sz w:val="24"/>
          <w:szCs w:val="24"/>
        </w:rPr>
        <w:t xml:space="preserve"> contract exhibits as appliable</w:t>
      </w:r>
    </w:p>
    <w:p w14:paraId="53F162F8" w14:textId="77777777" w:rsidR="00E8100C" w:rsidRPr="00323C0B" w:rsidRDefault="00E8100C" w:rsidP="00E8100C">
      <w:pPr>
        <w:pStyle w:val="ListParagraph"/>
        <w:numPr>
          <w:ilvl w:val="1"/>
          <w:numId w:val="24"/>
        </w:numPr>
        <w:rPr>
          <w:rFonts w:asciiTheme="majorHAnsi" w:hAnsiTheme="majorHAnsi" w:cstheme="majorHAnsi"/>
          <w:sz w:val="24"/>
          <w:szCs w:val="24"/>
        </w:rPr>
      </w:pPr>
      <w:r w:rsidRPr="00323C0B">
        <w:rPr>
          <w:rFonts w:asciiTheme="majorHAnsi" w:hAnsiTheme="majorHAnsi" w:cstheme="majorHAnsi"/>
          <w:color w:val="0070C0"/>
          <w:sz w:val="24"/>
          <w:szCs w:val="24"/>
        </w:rPr>
        <w:t xml:space="preserve">See </w:t>
      </w:r>
      <w:hyperlink r:id="rId12" w:history="1">
        <w:r w:rsidRPr="00323C0B">
          <w:rPr>
            <w:rStyle w:val="Hyperlink"/>
            <w:rFonts w:asciiTheme="majorHAnsi" w:hAnsiTheme="majorHAnsi" w:cstheme="majorHAnsi"/>
            <w:sz w:val="24"/>
            <w:szCs w:val="24"/>
          </w:rPr>
          <w:t>Core-CT job aids</w:t>
        </w:r>
      </w:hyperlink>
      <w:r w:rsidRPr="00323C0B">
        <w:rPr>
          <w:rFonts w:asciiTheme="majorHAnsi" w:hAnsiTheme="majorHAnsi" w:cstheme="majorHAnsi"/>
          <w:color w:val="0070C0"/>
          <w:sz w:val="24"/>
          <w:szCs w:val="24"/>
        </w:rPr>
        <w:t xml:space="preserve"> and </w:t>
      </w:r>
      <w:hyperlink r:id="rId13" w:history="1">
        <w:r w:rsidRPr="00323C0B">
          <w:rPr>
            <w:rStyle w:val="Hyperlink"/>
            <w:rFonts w:asciiTheme="majorHAnsi" w:hAnsiTheme="majorHAnsi" w:cstheme="majorHAnsi"/>
            <w:sz w:val="24"/>
            <w:szCs w:val="24"/>
          </w:rPr>
          <w:t>CTsource Resources</w:t>
        </w:r>
      </w:hyperlink>
      <w:r w:rsidRPr="00323C0B">
        <w:rPr>
          <w:rFonts w:asciiTheme="majorHAnsi" w:hAnsiTheme="majorHAnsi" w:cstheme="majorHAnsi"/>
          <w:color w:val="0070C0"/>
          <w:sz w:val="24"/>
          <w:szCs w:val="24"/>
        </w:rPr>
        <w:t xml:space="preserve"> for issuance information.</w:t>
      </w:r>
    </w:p>
    <w:p w14:paraId="6E6EAFD7" w14:textId="77777777" w:rsidR="00E8100C" w:rsidRPr="00323C0B" w:rsidRDefault="00E8100C" w:rsidP="00E8100C">
      <w:pPr>
        <w:pStyle w:val="ListParagraph"/>
        <w:numPr>
          <w:ilvl w:val="1"/>
          <w:numId w:val="24"/>
        </w:numPr>
        <w:spacing w:after="160" w:line="278" w:lineRule="auto"/>
        <w:rPr>
          <w:rFonts w:asciiTheme="majorHAnsi" w:hAnsiTheme="majorHAnsi" w:cstheme="majorHAnsi"/>
          <w:sz w:val="24"/>
          <w:szCs w:val="24"/>
        </w:rPr>
      </w:pPr>
      <w:r w:rsidRPr="00323C0B">
        <w:rPr>
          <w:rFonts w:asciiTheme="majorHAnsi" w:hAnsiTheme="majorHAnsi" w:cstheme="majorHAnsi"/>
          <w:color w:val="0070C0"/>
          <w:sz w:val="24"/>
          <w:szCs w:val="24"/>
        </w:rPr>
        <w:t xml:space="preserve">More information: </w:t>
      </w:r>
      <w:hyperlink r:id="rId14" w:history="1">
        <w:r w:rsidRPr="00323C0B">
          <w:rPr>
            <w:rStyle w:val="Hyperlink"/>
            <w:rFonts w:asciiTheme="majorHAnsi" w:hAnsiTheme="majorHAnsi" w:cstheme="majorHAnsi"/>
            <w:sz w:val="24"/>
            <w:szCs w:val="24"/>
          </w:rPr>
          <w:t>Procurement Informational Resources for Agencies - How To</w:t>
        </w:r>
      </w:hyperlink>
    </w:p>
    <w:p w14:paraId="275CAC97" w14:textId="77777777" w:rsidR="00E8100C" w:rsidRPr="00323C0B" w:rsidRDefault="00E8100C" w:rsidP="00E8100C">
      <w:pPr>
        <w:pStyle w:val="ListParagraph"/>
        <w:numPr>
          <w:ilvl w:val="1"/>
          <w:numId w:val="7"/>
        </w:numPr>
        <w:spacing w:after="160" w:line="278" w:lineRule="auto"/>
        <w:rPr>
          <w:rFonts w:ascii="Calibri" w:hAnsi="Calibri" w:cs="Calibri"/>
          <w:sz w:val="24"/>
          <w:szCs w:val="24"/>
        </w:rPr>
      </w:pPr>
      <w:r w:rsidRPr="00323C0B">
        <w:rPr>
          <w:rFonts w:ascii="Calibri" w:hAnsi="Calibri" w:cs="Calibri"/>
          <w:sz w:val="24"/>
          <w:szCs w:val="24"/>
        </w:rPr>
        <w:t xml:space="preserve">Regarding the State Agency contract templates: where should we attach the State Agency Form &amp; Contract Terms?  Is there a specific order in which those documents along with the Statement of Work &amp; OPM Form 1 should be put when </w:t>
      </w:r>
      <w:proofErr w:type="gramStart"/>
      <w:r w:rsidRPr="00323C0B">
        <w:rPr>
          <w:rFonts w:ascii="Calibri" w:hAnsi="Calibri" w:cs="Calibri"/>
          <w:sz w:val="24"/>
          <w:szCs w:val="24"/>
        </w:rPr>
        <w:t>doing</w:t>
      </w:r>
      <w:proofErr w:type="gramEnd"/>
      <w:r w:rsidRPr="00323C0B">
        <w:rPr>
          <w:rFonts w:ascii="Calibri" w:hAnsi="Calibri" w:cs="Calibri"/>
          <w:sz w:val="24"/>
          <w:szCs w:val="24"/>
        </w:rPr>
        <w:t xml:space="preserve"> a contract?</w:t>
      </w:r>
    </w:p>
    <w:p w14:paraId="2955DC79" w14:textId="77777777" w:rsidR="00E8100C" w:rsidRPr="00323C0B" w:rsidRDefault="00E8100C" w:rsidP="00E8100C">
      <w:pPr>
        <w:pStyle w:val="ListParagraph"/>
        <w:numPr>
          <w:ilvl w:val="0"/>
          <w:numId w:val="27"/>
        </w:numPr>
        <w:spacing w:after="160" w:line="278" w:lineRule="auto"/>
        <w:rPr>
          <w:rFonts w:ascii="Calibri" w:hAnsi="Calibri" w:cs="Calibri"/>
          <w:color w:val="0070C0"/>
          <w:sz w:val="24"/>
          <w:szCs w:val="24"/>
        </w:rPr>
      </w:pPr>
      <w:r w:rsidRPr="00323C0B">
        <w:rPr>
          <w:rFonts w:ascii="Calibri" w:hAnsi="Calibri" w:cs="Calibri"/>
          <w:color w:val="0070C0"/>
          <w:sz w:val="24"/>
          <w:szCs w:val="24"/>
        </w:rPr>
        <w:t xml:space="preserve">The contract executed should be posted on CTsource Contract Board. </w:t>
      </w:r>
    </w:p>
    <w:p w14:paraId="5DF7C999" w14:textId="77777777" w:rsidR="00E8100C" w:rsidRPr="00323C0B" w:rsidRDefault="00E8100C" w:rsidP="00E8100C">
      <w:pPr>
        <w:pStyle w:val="ListParagraph"/>
        <w:numPr>
          <w:ilvl w:val="0"/>
          <w:numId w:val="27"/>
        </w:numPr>
        <w:spacing w:after="160" w:line="278" w:lineRule="auto"/>
        <w:rPr>
          <w:rFonts w:ascii="Calibri" w:hAnsi="Calibri" w:cs="Calibri"/>
          <w:color w:val="0070C0"/>
          <w:sz w:val="24"/>
          <w:szCs w:val="24"/>
        </w:rPr>
      </w:pPr>
      <w:r w:rsidRPr="00323C0B">
        <w:rPr>
          <w:rFonts w:ascii="Calibri" w:hAnsi="Calibri" w:cs="Calibri"/>
          <w:color w:val="0070C0"/>
          <w:sz w:val="24"/>
          <w:szCs w:val="24"/>
        </w:rPr>
        <w:t>The document order: State Agency Form Contract</w:t>
      </w:r>
      <w:r>
        <w:rPr>
          <w:rFonts w:ascii="Calibri" w:hAnsi="Calibri" w:cs="Calibri"/>
          <w:color w:val="0070C0"/>
          <w:sz w:val="24"/>
          <w:szCs w:val="24"/>
        </w:rPr>
        <w:t xml:space="preserve">, </w:t>
      </w:r>
      <w:r w:rsidRPr="00323C0B">
        <w:rPr>
          <w:rFonts w:ascii="Calibri" w:hAnsi="Calibri" w:cs="Calibri"/>
          <w:color w:val="0070C0"/>
          <w:sz w:val="24"/>
          <w:szCs w:val="24"/>
        </w:rPr>
        <w:t>attached Exhibit A</w:t>
      </w:r>
      <w:r>
        <w:rPr>
          <w:rFonts w:ascii="Calibri" w:hAnsi="Calibri" w:cs="Calibri"/>
          <w:color w:val="0070C0"/>
          <w:sz w:val="24"/>
          <w:szCs w:val="24"/>
        </w:rPr>
        <w:t xml:space="preserve"> and other contract exhibits as applicable</w:t>
      </w:r>
      <w:r w:rsidRPr="00323C0B">
        <w:rPr>
          <w:rFonts w:ascii="Calibri" w:hAnsi="Calibri" w:cs="Calibri"/>
          <w:color w:val="0070C0"/>
          <w:sz w:val="24"/>
          <w:szCs w:val="24"/>
        </w:rPr>
        <w:t>.</w:t>
      </w:r>
    </w:p>
    <w:p w14:paraId="05FDE2E7" w14:textId="40F6C6B8" w:rsidR="00E8100C" w:rsidRPr="00323C0B" w:rsidRDefault="00E8100C" w:rsidP="00E8100C">
      <w:pPr>
        <w:pStyle w:val="ListParagraph"/>
        <w:numPr>
          <w:ilvl w:val="0"/>
          <w:numId w:val="27"/>
        </w:numPr>
        <w:spacing w:after="160" w:line="278" w:lineRule="auto"/>
        <w:rPr>
          <w:rFonts w:ascii="Calibri" w:hAnsi="Calibri" w:cs="Calibri"/>
          <w:color w:val="0070C0"/>
          <w:sz w:val="24"/>
          <w:szCs w:val="24"/>
        </w:rPr>
      </w:pPr>
      <w:r w:rsidRPr="00323C0B">
        <w:rPr>
          <w:rFonts w:ascii="Calibri" w:hAnsi="Calibri" w:cs="Calibri"/>
          <w:color w:val="0070C0"/>
          <w:sz w:val="24"/>
          <w:szCs w:val="24"/>
        </w:rPr>
        <w:t>Statement of Work will be used to develop Exhibit A and will be retained in your agency procurement file along with your quotation/bid</w:t>
      </w:r>
      <w:r w:rsidR="007938AC">
        <w:rPr>
          <w:rFonts w:ascii="Calibri" w:hAnsi="Calibri" w:cs="Calibri"/>
          <w:color w:val="0070C0"/>
          <w:sz w:val="24"/>
          <w:szCs w:val="24"/>
        </w:rPr>
        <w:t>, PO, specifications, proposals</w:t>
      </w:r>
      <w:r w:rsidR="001B33F2">
        <w:rPr>
          <w:rFonts w:ascii="Calibri" w:hAnsi="Calibri" w:cs="Calibri"/>
          <w:color w:val="0070C0"/>
          <w:sz w:val="24"/>
          <w:szCs w:val="24"/>
        </w:rPr>
        <w:t xml:space="preserve"> </w:t>
      </w:r>
      <w:r>
        <w:rPr>
          <w:rFonts w:ascii="Calibri" w:hAnsi="Calibri" w:cs="Calibri"/>
          <w:color w:val="0070C0"/>
          <w:sz w:val="24"/>
          <w:szCs w:val="24"/>
        </w:rPr>
        <w:t xml:space="preserve">and </w:t>
      </w:r>
      <w:r w:rsidR="007C04FE">
        <w:rPr>
          <w:rFonts w:ascii="Calibri" w:hAnsi="Calibri" w:cs="Calibri"/>
          <w:color w:val="0070C0"/>
          <w:sz w:val="24"/>
          <w:szCs w:val="24"/>
        </w:rPr>
        <w:t>corresponding documentation</w:t>
      </w:r>
      <w:r w:rsidRPr="00323C0B">
        <w:rPr>
          <w:rFonts w:ascii="Calibri" w:hAnsi="Calibri" w:cs="Calibri"/>
          <w:color w:val="0070C0"/>
          <w:sz w:val="24"/>
          <w:szCs w:val="24"/>
        </w:rPr>
        <w:t xml:space="preserve">. </w:t>
      </w:r>
    </w:p>
    <w:p w14:paraId="77F6761B" w14:textId="77777777" w:rsidR="00E8100C" w:rsidRPr="00323C0B" w:rsidRDefault="00E8100C" w:rsidP="00E8100C">
      <w:pPr>
        <w:pStyle w:val="ListParagraph"/>
        <w:numPr>
          <w:ilvl w:val="0"/>
          <w:numId w:val="27"/>
        </w:numPr>
        <w:spacing w:after="160" w:line="278" w:lineRule="auto"/>
        <w:rPr>
          <w:rFonts w:ascii="Calibri" w:hAnsi="Calibri" w:cs="Calibri"/>
          <w:color w:val="0070C0"/>
          <w:sz w:val="24"/>
          <w:szCs w:val="24"/>
        </w:rPr>
      </w:pPr>
      <w:r w:rsidRPr="00323C0B">
        <w:rPr>
          <w:rFonts w:ascii="Calibri" w:hAnsi="Calibri" w:cs="Calibri"/>
          <w:color w:val="0070C0"/>
          <w:sz w:val="24"/>
          <w:szCs w:val="24"/>
        </w:rPr>
        <w:t xml:space="preserve">All awarded suppliers must be registered with both CTsource and Core-CT. </w:t>
      </w:r>
    </w:p>
    <w:p w14:paraId="451DE0DF" w14:textId="1AFD0CA2" w:rsidR="00E8100C" w:rsidRPr="00E9008D" w:rsidRDefault="00E8100C" w:rsidP="00E8100C">
      <w:pPr>
        <w:pStyle w:val="ListParagraph"/>
        <w:numPr>
          <w:ilvl w:val="0"/>
          <w:numId w:val="27"/>
        </w:numPr>
        <w:spacing w:after="160" w:line="278" w:lineRule="auto"/>
        <w:rPr>
          <w:rFonts w:ascii="Calibri" w:hAnsi="Calibri" w:cs="Calibri"/>
          <w:sz w:val="24"/>
          <w:szCs w:val="24"/>
        </w:rPr>
      </w:pPr>
      <w:r w:rsidRPr="00323C0B">
        <w:rPr>
          <w:rFonts w:ascii="Calibri" w:hAnsi="Calibri" w:cs="Calibri"/>
          <w:color w:val="0070C0"/>
          <w:sz w:val="24"/>
          <w:szCs w:val="24"/>
        </w:rPr>
        <w:t>All awarded Contractors must show proof of insurance with certificates of insurance (</w:t>
      </w:r>
      <w:r w:rsidR="00977AA8">
        <w:rPr>
          <w:rFonts w:ascii="Calibri" w:hAnsi="Calibri" w:cs="Calibri"/>
          <w:color w:val="0070C0"/>
          <w:sz w:val="24"/>
          <w:szCs w:val="24"/>
        </w:rPr>
        <w:t xml:space="preserve">COI, </w:t>
      </w:r>
      <w:r w:rsidRPr="00323C0B">
        <w:rPr>
          <w:rFonts w:ascii="Calibri" w:hAnsi="Calibri" w:cs="Calibri"/>
          <w:color w:val="0070C0"/>
          <w:sz w:val="24"/>
          <w:szCs w:val="24"/>
        </w:rPr>
        <w:t>ACORD form) evidencing that Contractor has the insurance as required by the Contract. An authorized representative of the insurer shall sign the certificates. Contractors are required to upload their insurance documents to their CTsource account.</w:t>
      </w:r>
    </w:p>
    <w:p w14:paraId="2648969E" w14:textId="77777777" w:rsidR="00E8100C" w:rsidRPr="00C1000C" w:rsidRDefault="00E8100C" w:rsidP="00C1000C">
      <w:pPr>
        <w:pStyle w:val="ListParagraph"/>
        <w:numPr>
          <w:ilvl w:val="0"/>
          <w:numId w:val="27"/>
        </w:numPr>
        <w:spacing w:after="160" w:line="278" w:lineRule="auto"/>
        <w:rPr>
          <w:rFonts w:ascii="Calibri" w:hAnsi="Calibri" w:cs="Calibri"/>
          <w:sz w:val="24"/>
          <w:szCs w:val="24"/>
        </w:rPr>
      </w:pPr>
      <w:r w:rsidRPr="00E9008D">
        <w:rPr>
          <w:rFonts w:ascii="Calibri" w:hAnsi="Calibri" w:cs="Calibri"/>
          <w:color w:val="0070C0"/>
          <w:sz w:val="24"/>
          <w:szCs w:val="24"/>
        </w:rPr>
        <w:t>Contracts $50K or more, Contractors are required to upload the OPM Form 1 to their CTsource account.</w:t>
      </w:r>
    </w:p>
    <w:p w14:paraId="3F20D820" w14:textId="015F002F" w:rsidR="00C1000C" w:rsidRPr="0089648C" w:rsidRDefault="00C1000C" w:rsidP="0089648C">
      <w:pPr>
        <w:pStyle w:val="ListParagraph"/>
        <w:numPr>
          <w:ilvl w:val="1"/>
          <w:numId w:val="7"/>
        </w:numPr>
        <w:rPr>
          <w:rFonts w:ascii="Calibri" w:hAnsi="Calibri" w:cs="Calibri"/>
          <w:sz w:val="24"/>
          <w:szCs w:val="24"/>
        </w:rPr>
      </w:pPr>
      <w:r w:rsidRPr="0089648C">
        <w:rPr>
          <w:rFonts w:ascii="Calibri" w:hAnsi="Calibri" w:cs="Calibri"/>
          <w:sz w:val="24"/>
          <w:szCs w:val="24"/>
        </w:rPr>
        <w:t>For GL71b contracts, what contract terms are allowed? Can contracts extend beyond one fiscal year?</w:t>
      </w:r>
      <w:r w:rsidRPr="0089648C">
        <w:rPr>
          <w:rFonts w:ascii="Calibri" w:hAnsi="Calibri" w:cs="Calibri"/>
          <w:sz w:val="24"/>
          <w:szCs w:val="24"/>
        </w:rPr>
        <w:br/>
      </w:r>
      <w:r w:rsidRPr="0089648C">
        <w:rPr>
          <w:rFonts w:ascii="Calibri" w:hAnsi="Calibri" w:cs="Calibri"/>
          <w:color w:val="0070C0"/>
          <w:sz w:val="24"/>
          <w:szCs w:val="24"/>
        </w:rPr>
        <w:t>GL71b transactions are not limited to one year. Multi-year agreements may be executed if appropriate, with each year reflected as a separate line item on the PO.</w:t>
      </w:r>
      <w:r w:rsidR="00460758">
        <w:rPr>
          <w:rFonts w:ascii="Calibri" w:hAnsi="Calibri" w:cs="Calibri"/>
          <w:color w:val="0070C0"/>
          <w:sz w:val="24"/>
          <w:szCs w:val="24"/>
        </w:rPr>
        <w:t xml:space="preserve"> </w:t>
      </w:r>
      <w:r w:rsidR="00B826D9">
        <w:rPr>
          <w:rFonts w:ascii="Calibri" w:hAnsi="Calibri" w:cs="Calibri"/>
          <w:color w:val="0070C0"/>
          <w:sz w:val="24"/>
          <w:szCs w:val="24"/>
        </w:rPr>
        <w:t>A c</w:t>
      </w:r>
      <w:r w:rsidR="00460758">
        <w:rPr>
          <w:rFonts w:ascii="Calibri" w:hAnsi="Calibri" w:cs="Calibri"/>
          <w:color w:val="0070C0"/>
          <w:sz w:val="24"/>
          <w:szCs w:val="24"/>
        </w:rPr>
        <w:t>ontract is required.</w:t>
      </w:r>
    </w:p>
    <w:p w14:paraId="1D573F99" w14:textId="0CE9DAC2" w:rsidR="0089648C" w:rsidRDefault="00057496" w:rsidP="0089648C">
      <w:pPr>
        <w:pStyle w:val="ListParagraph"/>
        <w:numPr>
          <w:ilvl w:val="1"/>
          <w:numId w:val="7"/>
        </w:numPr>
        <w:rPr>
          <w:rFonts w:ascii="Calibri" w:hAnsi="Calibri" w:cs="Calibri"/>
          <w:sz w:val="24"/>
          <w:szCs w:val="24"/>
        </w:rPr>
      </w:pPr>
      <w:r w:rsidRPr="00057496">
        <w:rPr>
          <w:rFonts w:ascii="Calibri" w:hAnsi="Calibri" w:cs="Calibri"/>
          <w:sz w:val="24"/>
          <w:szCs w:val="24"/>
        </w:rPr>
        <w:t>Does the contract number have to start with the calendar year</w:t>
      </w:r>
      <w:r>
        <w:rPr>
          <w:rFonts w:ascii="Calibri" w:hAnsi="Calibri" w:cs="Calibri"/>
          <w:sz w:val="24"/>
          <w:szCs w:val="24"/>
        </w:rPr>
        <w:t>?</w:t>
      </w:r>
    </w:p>
    <w:p w14:paraId="1F68D7F1" w14:textId="5DBA9800" w:rsidR="00057496" w:rsidRPr="0066798C" w:rsidRDefault="0066798C" w:rsidP="00057496">
      <w:pPr>
        <w:pStyle w:val="ListParagraph"/>
        <w:ind w:left="1080"/>
        <w:rPr>
          <w:rFonts w:ascii="Calibri" w:hAnsi="Calibri" w:cs="Calibri"/>
          <w:color w:val="0070C0"/>
          <w:sz w:val="24"/>
          <w:szCs w:val="24"/>
        </w:rPr>
      </w:pPr>
      <w:r w:rsidRPr="0066798C">
        <w:rPr>
          <w:rFonts w:ascii="Calibri" w:hAnsi="Calibri" w:cs="Calibri"/>
          <w:color w:val="0070C0"/>
          <w:sz w:val="24"/>
          <w:szCs w:val="24"/>
        </w:rPr>
        <w:t xml:space="preserve">Contract numbers should follow agency guidelines, which generally reflect the fiscal year </w:t>
      </w:r>
      <w:proofErr w:type="gramStart"/>
      <w:r w:rsidRPr="0066798C">
        <w:rPr>
          <w:rFonts w:ascii="Calibri" w:hAnsi="Calibri" w:cs="Calibri"/>
          <w:color w:val="0070C0"/>
          <w:sz w:val="24"/>
          <w:szCs w:val="24"/>
        </w:rPr>
        <w:t>executed</w:t>
      </w:r>
      <w:proofErr w:type="gramEnd"/>
      <w:r w:rsidRPr="0066798C">
        <w:rPr>
          <w:rFonts w:ascii="Calibri" w:hAnsi="Calibri" w:cs="Calibri"/>
          <w:color w:val="0070C0"/>
          <w:sz w:val="24"/>
          <w:szCs w:val="24"/>
        </w:rPr>
        <w:t>.</w:t>
      </w:r>
    </w:p>
    <w:p w14:paraId="29AA7C1A" w14:textId="77777777" w:rsidR="00C1000C" w:rsidRPr="00C1000C" w:rsidRDefault="00C1000C" w:rsidP="00C1000C">
      <w:pPr>
        <w:spacing w:after="160" w:line="278" w:lineRule="auto"/>
        <w:rPr>
          <w:rFonts w:ascii="Calibri" w:hAnsi="Calibri" w:cs="Calibri"/>
          <w:sz w:val="24"/>
          <w:szCs w:val="24"/>
        </w:rPr>
      </w:pPr>
    </w:p>
    <w:p w14:paraId="55D78F17" w14:textId="5013981D" w:rsidR="00800647" w:rsidRPr="0056086A" w:rsidRDefault="00800647" w:rsidP="002F1AA3">
      <w:pPr>
        <w:pStyle w:val="Heading1"/>
        <w:numPr>
          <w:ilvl w:val="0"/>
          <w:numId w:val="7"/>
        </w:numPr>
        <w15:collapsed/>
        <w:rPr>
          <w:rFonts w:ascii="Calibri" w:hAnsi="Calibri" w:cs="Calibri"/>
          <w:color w:val="auto"/>
          <w:sz w:val="32"/>
          <w:szCs w:val="32"/>
        </w:rPr>
      </w:pPr>
      <w:r w:rsidRPr="0056086A">
        <w:rPr>
          <w:rFonts w:ascii="Calibri" w:hAnsi="Calibri" w:cs="Calibri"/>
          <w:color w:val="auto"/>
          <w:sz w:val="32"/>
          <w:szCs w:val="32"/>
        </w:rPr>
        <w:t xml:space="preserve">Core-CT </w:t>
      </w:r>
      <w:r w:rsidR="0036244C">
        <w:rPr>
          <w:rFonts w:ascii="Calibri" w:hAnsi="Calibri" w:cs="Calibri"/>
          <w:color w:val="auto"/>
          <w:sz w:val="32"/>
          <w:szCs w:val="32"/>
        </w:rPr>
        <w:t xml:space="preserve">System and Processing </w:t>
      </w:r>
      <w:r w:rsidRPr="0056086A">
        <w:rPr>
          <w:rFonts w:ascii="Calibri" w:hAnsi="Calibri" w:cs="Calibri"/>
          <w:color w:val="auto"/>
          <w:sz w:val="32"/>
          <w:szCs w:val="32"/>
        </w:rPr>
        <w:t>Questions</w:t>
      </w:r>
    </w:p>
    <w:p w14:paraId="705B984A" w14:textId="470E57F5" w:rsidR="00F64BD1" w:rsidRPr="00323C0B" w:rsidRDefault="00DA4D8D" w:rsidP="002F1AA3">
      <w:pPr>
        <w:pStyle w:val="ListParagraph"/>
        <w:numPr>
          <w:ilvl w:val="0"/>
          <w:numId w:val="10"/>
        </w:numPr>
        <w:rPr>
          <w:rFonts w:ascii="Calibri" w:hAnsi="Calibri" w:cs="Calibri"/>
          <w:sz w:val="24"/>
          <w:szCs w:val="24"/>
        </w:rPr>
      </w:pPr>
      <w:r w:rsidRPr="00323C0B">
        <w:rPr>
          <w:rFonts w:ascii="Calibri" w:hAnsi="Calibri" w:cs="Calibri"/>
          <w:sz w:val="24"/>
          <w:szCs w:val="24"/>
        </w:rPr>
        <w:t xml:space="preserve">Question </w:t>
      </w:r>
      <w:r w:rsidR="00A84A14" w:rsidRPr="00323C0B">
        <w:rPr>
          <w:rFonts w:ascii="Calibri" w:hAnsi="Calibri" w:cs="Calibri"/>
          <w:sz w:val="24"/>
          <w:szCs w:val="24"/>
        </w:rPr>
        <w:t>related</w:t>
      </w:r>
      <w:r w:rsidRPr="00323C0B">
        <w:rPr>
          <w:rFonts w:ascii="Calibri" w:hAnsi="Calibri" w:cs="Calibri"/>
          <w:sz w:val="24"/>
          <w:szCs w:val="24"/>
        </w:rPr>
        <w:t xml:space="preserve"> to FYE: </w:t>
      </w:r>
      <w:r w:rsidR="00FE2EF1" w:rsidRPr="00323C0B">
        <w:rPr>
          <w:rFonts w:ascii="Calibri" w:hAnsi="Calibri" w:cs="Calibri"/>
          <w:sz w:val="24"/>
          <w:szCs w:val="24"/>
        </w:rPr>
        <w:t>In the job aid it says update the PO type from GL to GEN — was that correct?</w:t>
      </w:r>
      <w:r w:rsidR="00882E71" w:rsidRPr="00323C0B">
        <w:rPr>
          <w:rFonts w:ascii="Calibri" w:hAnsi="Calibri" w:cs="Calibri"/>
          <w:sz w:val="24"/>
          <w:szCs w:val="24"/>
        </w:rPr>
        <w:t xml:space="preserve"> Should we use GL PO type when using GL71A, B?  </w:t>
      </w:r>
    </w:p>
    <w:p w14:paraId="04EE3D1B" w14:textId="03B87209" w:rsidR="00F64BD1" w:rsidRPr="00323C0B" w:rsidRDefault="00FE2EF1" w:rsidP="003D3CAA">
      <w:pPr>
        <w:pStyle w:val="ListParagraph"/>
        <w:rPr>
          <w:rFonts w:ascii="Calibri" w:hAnsi="Calibri" w:cs="Calibri"/>
          <w:color w:val="0070C0"/>
          <w:sz w:val="24"/>
          <w:szCs w:val="24"/>
        </w:rPr>
      </w:pPr>
      <w:r w:rsidRPr="00323C0B">
        <w:rPr>
          <w:rFonts w:ascii="Calibri" w:hAnsi="Calibri" w:cs="Calibri"/>
          <w:color w:val="0070C0"/>
          <w:sz w:val="24"/>
          <w:szCs w:val="24"/>
        </w:rPr>
        <w:t>For those POs that must continue beyond June 30th, the PO type GEN is correct when using the Cont. PO</w:t>
      </w:r>
      <w:r w:rsidR="00A71BB2" w:rsidRPr="00323C0B">
        <w:rPr>
          <w:rFonts w:ascii="Calibri" w:hAnsi="Calibri" w:cs="Calibri"/>
          <w:color w:val="0070C0"/>
          <w:sz w:val="24"/>
          <w:szCs w:val="24"/>
        </w:rPr>
        <w:t>, contract, CGS,</w:t>
      </w:r>
      <w:r w:rsidRPr="00323C0B">
        <w:rPr>
          <w:rFonts w:ascii="Calibri" w:hAnsi="Calibri" w:cs="Calibri"/>
          <w:color w:val="0070C0"/>
          <w:sz w:val="24"/>
          <w:szCs w:val="24"/>
        </w:rPr>
        <w:t xml:space="preserve"> </w:t>
      </w:r>
      <w:r w:rsidR="001207D5" w:rsidRPr="00323C0B">
        <w:rPr>
          <w:rFonts w:ascii="Calibri" w:hAnsi="Calibri" w:cs="Calibri"/>
          <w:color w:val="0070C0"/>
          <w:sz w:val="24"/>
          <w:szCs w:val="24"/>
        </w:rPr>
        <w:t xml:space="preserve">4a-66b, </w:t>
      </w:r>
      <w:r w:rsidRPr="00323C0B">
        <w:rPr>
          <w:rFonts w:ascii="Calibri" w:hAnsi="Calibri" w:cs="Calibri"/>
          <w:color w:val="0070C0"/>
          <w:sz w:val="24"/>
          <w:szCs w:val="24"/>
        </w:rPr>
        <w:t xml:space="preserve">purchasing authority option. </w:t>
      </w:r>
      <w:r w:rsidR="001207D5" w:rsidRPr="00323C0B">
        <w:rPr>
          <w:rFonts w:ascii="Calibri" w:hAnsi="Calibri" w:cs="Calibri"/>
          <w:color w:val="0070C0"/>
          <w:sz w:val="24"/>
          <w:szCs w:val="24"/>
        </w:rPr>
        <w:t xml:space="preserve">GL71a and GL71b </w:t>
      </w:r>
      <w:r w:rsidR="00076A50" w:rsidRPr="00323C0B">
        <w:rPr>
          <w:rFonts w:ascii="Calibri" w:hAnsi="Calibri" w:cs="Calibri"/>
          <w:color w:val="0070C0"/>
          <w:sz w:val="24"/>
          <w:szCs w:val="24"/>
        </w:rPr>
        <w:t xml:space="preserve">will continue to use GL purchasing authority. </w:t>
      </w:r>
      <w:r w:rsidR="00724024" w:rsidRPr="00323C0B">
        <w:rPr>
          <w:rFonts w:ascii="Calibri" w:hAnsi="Calibri" w:cs="Calibri"/>
          <w:color w:val="0070C0"/>
          <w:sz w:val="24"/>
          <w:szCs w:val="24"/>
        </w:rPr>
        <w:t xml:space="preserve">This link provides a copy of the job aid: </w:t>
      </w:r>
      <w:hyperlink r:id="rId15" w:history="1">
        <w:r w:rsidR="00724024" w:rsidRPr="00323C0B">
          <w:rPr>
            <w:rStyle w:val="Hyperlink"/>
            <w:rFonts w:ascii="Calibri" w:hAnsi="Calibri" w:cs="Calibri"/>
            <w:sz w:val="24"/>
            <w:szCs w:val="24"/>
          </w:rPr>
          <w:t>General Letter Purchasing Authorities Discontinued.pdf</w:t>
        </w:r>
      </w:hyperlink>
    </w:p>
    <w:p w14:paraId="42AAEFC7" w14:textId="39A8B622" w:rsidR="00F64BD1" w:rsidRPr="00323C0B" w:rsidRDefault="00DA4D8D" w:rsidP="002F1AA3">
      <w:pPr>
        <w:pStyle w:val="ListParagraph"/>
        <w:numPr>
          <w:ilvl w:val="0"/>
          <w:numId w:val="10"/>
        </w:numPr>
        <w:rPr>
          <w:rFonts w:ascii="Calibri" w:hAnsi="Calibri" w:cs="Calibri"/>
          <w:sz w:val="24"/>
          <w:szCs w:val="24"/>
        </w:rPr>
      </w:pPr>
      <w:r w:rsidRPr="00323C0B">
        <w:rPr>
          <w:rFonts w:ascii="Calibri" w:hAnsi="Calibri" w:cs="Calibri"/>
          <w:sz w:val="24"/>
          <w:szCs w:val="24"/>
        </w:rPr>
        <w:t xml:space="preserve">Question </w:t>
      </w:r>
      <w:r w:rsidR="00A84A14" w:rsidRPr="00323C0B">
        <w:rPr>
          <w:rFonts w:ascii="Calibri" w:hAnsi="Calibri" w:cs="Calibri"/>
          <w:sz w:val="24"/>
          <w:szCs w:val="24"/>
        </w:rPr>
        <w:t>related</w:t>
      </w:r>
      <w:r w:rsidRPr="00323C0B">
        <w:rPr>
          <w:rFonts w:ascii="Calibri" w:hAnsi="Calibri" w:cs="Calibri"/>
          <w:sz w:val="24"/>
          <w:szCs w:val="24"/>
        </w:rPr>
        <w:t xml:space="preserve"> to FYE: </w:t>
      </w:r>
      <w:r w:rsidR="00FE2EF1" w:rsidRPr="00323C0B">
        <w:rPr>
          <w:rFonts w:ascii="Calibri" w:hAnsi="Calibri" w:cs="Calibri"/>
          <w:sz w:val="24"/>
          <w:szCs w:val="24"/>
        </w:rPr>
        <w:t xml:space="preserve">Do we start using the continuing PO now when issuing new </w:t>
      </w:r>
      <w:r w:rsidR="00DC056E" w:rsidRPr="00323C0B">
        <w:rPr>
          <w:rFonts w:ascii="Calibri" w:hAnsi="Calibri" w:cs="Calibri"/>
          <w:sz w:val="24"/>
          <w:szCs w:val="24"/>
        </w:rPr>
        <w:t xml:space="preserve">POs or do we need to issue POs using GL71C - G, approve, and then make changes to continue </w:t>
      </w:r>
      <w:r w:rsidR="00E147C8" w:rsidRPr="00323C0B">
        <w:rPr>
          <w:rFonts w:ascii="Calibri" w:hAnsi="Calibri" w:cs="Calibri"/>
          <w:sz w:val="24"/>
          <w:szCs w:val="24"/>
        </w:rPr>
        <w:t xml:space="preserve">the </w:t>
      </w:r>
      <w:r w:rsidR="00DC056E" w:rsidRPr="00323C0B">
        <w:rPr>
          <w:rFonts w:ascii="Calibri" w:hAnsi="Calibri" w:cs="Calibri"/>
          <w:sz w:val="24"/>
          <w:szCs w:val="24"/>
        </w:rPr>
        <w:t>PO after the POs are dispatched.</w:t>
      </w:r>
    </w:p>
    <w:p w14:paraId="32BD7D43" w14:textId="385EFBF8" w:rsidR="00F64BD1" w:rsidRPr="00323C0B" w:rsidRDefault="00A94839" w:rsidP="003D3CAA">
      <w:pPr>
        <w:pStyle w:val="ListParagraph"/>
        <w:rPr>
          <w:rFonts w:ascii="Calibri" w:hAnsi="Calibri" w:cs="Calibri"/>
          <w:color w:val="0070C0"/>
          <w:sz w:val="24"/>
          <w:szCs w:val="24"/>
        </w:rPr>
      </w:pPr>
      <w:r w:rsidRPr="00323C0B">
        <w:rPr>
          <w:rFonts w:ascii="Calibri" w:hAnsi="Calibri" w:cs="Calibri"/>
          <w:color w:val="0070C0"/>
          <w:sz w:val="24"/>
          <w:szCs w:val="24"/>
        </w:rPr>
        <w:t>Yes, to streamline the administrative processes for new POs issued between now and June 30th, agencies are permitted to use the “Continuing PO” purchasing authority for the entire term of the PO. POs created under this guidance cannot be extended. A new PO must be issued under the appropriate purchasing authority once the PO expires. Enter a comment in Core-CT that includes the current GL71 authority to ensure proper historical tracking and audit compliance</w:t>
      </w:r>
      <w:r w:rsidR="00FE2EF1" w:rsidRPr="00323C0B">
        <w:rPr>
          <w:rFonts w:ascii="Calibri" w:hAnsi="Calibri" w:cs="Calibri"/>
          <w:color w:val="0070C0"/>
          <w:sz w:val="24"/>
          <w:szCs w:val="24"/>
        </w:rPr>
        <w:t>.</w:t>
      </w:r>
    </w:p>
    <w:p w14:paraId="5D970022" w14:textId="1CCF644C" w:rsidR="00381268" w:rsidRPr="00323C0B" w:rsidRDefault="00582A9F" w:rsidP="002F1AA3">
      <w:pPr>
        <w:pStyle w:val="ListParagraph"/>
        <w:numPr>
          <w:ilvl w:val="0"/>
          <w:numId w:val="10"/>
        </w:numPr>
        <w:rPr>
          <w:rFonts w:ascii="Calibri" w:hAnsi="Calibri" w:cs="Calibri"/>
          <w:sz w:val="24"/>
          <w:szCs w:val="24"/>
        </w:rPr>
      </w:pPr>
      <w:r w:rsidRPr="00323C0B">
        <w:rPr>
          <w:rFonts w:ascii="Calibri" w:hAnsi="Calibri" w:cs="Calibri"/>
          <w:sz w:val="24"/>
          <w:szCs w:val="24"/>
        </w:rPr>
        <w:t xml:space="preserve">Question related to FYE: </w:t>
      </w:r>
      <w:r w:rsidR="00381268" w:rsidRPr="00323C0B">
        <w:rPr>
          <w:rFonts w:ascii="Calibri" w:hAnsi="Calibri" w:cs="Calibri"/>
          <w:sz w:val="24"/>
          <w:szCs w:val="24"/>
        </w:rPr>
        <w:t xml:space="preserve">I am adding a new line to a current PO that is currently designated as a "CONT PO" per the GL71 instructions. The new line is over $270K, and this vendor is sole source. This is a renewal of a </w:t>
      </w:r>
      <w:proofErr w:type="gramStart"/>
      <w:r w:rsidR="00381268" w:rsidRPr="00323C0B">
        <w:rPr>
          <w:rFonts w:ascii="Calibri" w:hAnsi="Calibri" w:cs="Calibri"/>
          <w:sz w:val="24"/>
          <w:szCs w:val="24"/>
        </w:rPr>
        <w:t>one year</w:t>
      </w:r>
      <w:proofErr w:type="gramEnd"/>
      <w:r w:rsidR="00381268" w:rsidRPr="00323C0B">
        <w:rPr>
          <w:rFonts w:ascii="Calibri" w:hAnsi="Calibri" w:cs="Calibri"/>
          <w:sz w:val="24"/>
          <w:szCs w:val="24"/>
        </w:rPr>
        <w:t xml:space="preserve"> subscription. Should line 2 be considered a CONT PO as well?</w:t>
      </w:r>
    </w:p>
    <w:p w14:paraId="0D2B9F9D" w14:textId="52F89042" w:rsidR="00381268" w:rsidRPr="00323C0B" w:rsidRDefault="00381268" w:rsidP="00381268">
      <w:pPr>
        <w:pStyle w:val="ListParagraph"/>
        <w:rPr>
          <w:rFonts w:ascii="Calibri" w:hAnsi="Calibri" w:cs="Calibri"/>
          <w:color w:val="4F81BD" w:themeColor="accent1"/>
          <w:sz w:val="24"/>
          <w:szCs w:val="24"/>
        </w:rPr>
      </w:pPr>
      <w:r w:rsidRPr="00323C0B">
        <w:rPr>
          <w:rFonts w:ascii="Calibri" w:hAnsi="Calibri" w:cs="Calibri"/>
          <w:color w:val="4F81BD" w:themeColor="accent1"/>
          <w:sz w:val="24"/>
          <w:szCs w:val="24"/>
        </w:rPr>
        <w:t xml:space="preserve">Yes, to ensure continuity of services, use CONT PO. Prior to PO expiration date, submit a DAS-BID requisition to establish a DAS contract. </w:t>
      </w:r>
    </w:p>
    <w:p w14:paraId="2A7B3042" w14:textId="5DF53BE3" w:rsidR="00F64BD1" w:rsidRPr="00323C0B" w:rsidRDefault="00582A9F" w:rsidP="002F1AA3">
      <w:pPr>
        <w:pStyle w:val="ListParagraph"/>
        <w:numPr>
          <w:ilvl w:val="0"/>
          <w:numId w:val="10"/>
        </w:numPr>
        <w:rPr>
          <w:rFonts w:ascii="Calibri" w:hAnsi="Calibri" w:cs="Calibri"/>
          <w:sz w:val="24"/>
          <w:szCs w:val="24"/>
        </w:rPr>
      </w:pPr>
      <w:r w:rsidRPr="00323C0B">
        <w:rPr>
          <w:rFonts w:ascii="Calibri" w:hAnsi="Calibri" w:cs="Calibri"/>
          <w:sz w:val="24"/>
          <w:szCs w:val="24"/>
        </w:rPr>
        <w:t xml:space="preserve">Question related to FYE: </w:t>
      </w:r>
      <w:r w:rsidR="00D6541C" w:rsidRPr="00323C0B">
        <w:rPr>
          <w:rFonts w:ascii="Calibri" w:hAnsi="Calibri" w:cs="Calibri"/>
          <w:sz w:val="24"/>
          <w:szCs w:val="24"/>
        </w:rPr>
        <w:t>How should POs with closed lines be handled when encountering error messages during updates?</w:t>
      </w:r>
    </w:p>
    <w:p w14:paraId="52F7214D" w14:textId="2F536984" w:rsidR="00F64BD1" w:rsidRPr="00323C0B" w:rsidRDefault="00C00355" w:rsidP="003D3CAA">
      <w:pPr>
        <w:pStyle w:val="ListParagraph"/>
        <w:rPr>
          <w:rFonts w:ascii="Calibri" w:hAnsi="Calibri" w:cs="Calibri"/>
          <w:sz w:val="24"/>
          <w:szCs w:val="24"/>
        </w:rPr>
      </w:pPr>
      <w:r w:rsidRPr="00323C0B">
        <w:rPr>
          <w:rFonts w:ascii="Calibri" w:hAnsi="Calibri" w:cs="Calibri"/>
          <w:color w:val="0070C0"/>
          <w:sz w:val="24"/>
          <w:szCs w:val="24"/>
        </w:rPr>
        <w:t xml:space="preserve">Core-CT has resolved an issue that previously restricted users from updating Purchase Orders containing both active and closed lines. Users can now modify the Purchasing Authority on the active lines on these POs and successfully save the document. Please note that </w:t>
      </w:r>
      <w:proofErr w:type="gramStart"/>
      <w:r w:rsidRPr="00323C0B">
        <w:rPr>
          <w:rFonts w:ascii="Calibri" w:hAnsi="Calibri" w:cs="Calibri"/>
          <w:color w:val="0070C0"/>
          <w:sz w:val="24"/>
          <w:szCs w:val="24"/>
        </w:rPr>
        <w:t>closed</w:t>
      </w:r>
      <w:proofErr w:type="gramEnd"/>
      <w:r w:rsidRPr="00323C0B">
        <w:rPr>
          <w:rFonts w:ascii="Calibri" w:hAnsi="Calibri" w:cs="Calibri"/>
          <w:color w:val="0070C0"/>
          <w:sz w:val="24"/>
          <w:szCs w:val="24"/>
        </w:rPr>
        <w:t xml:space="preserve"> lines will remain unchanged.</w:t>
      </w:r>
    </w:p>
    <w:p w14:paraId="685FE460" w14:textId="441E2663" w:rsidR="003D3CAA" w:rsidRPr="00323C0B" w:rsidRDefault="00D54F7E" w:rsidP="002F1AA3">
      <w:pPr>
        <w:pStyle w:val="ListParagraph"/>
        <w:numPr>
          <w:ilvl w:val="0"/>
          <w:numId w:val="10"/>
        </w:numPr>
        <w:rPr>
          <w:rFonts w:ascii="Calibri" w:hAnsi="Calibri" w:cs="Calibri"/>
          <w:sz w:val="24"/>
          <w:szCs w:val="24"/>
        </w:rPr>
      </w:pPr>
      <w:r w:rsidRPr="00323C0B">
        <w:rPr>
          <w:rFonts w:ascii="Calibri" w:hAnsi="Calibri" w:cs="Calibri"/>
          <w:sz w:val="24"/>
          <w:szCs w:val="24"/>
        </w:rPr>
        <w:t>What purchasing authority should be selected in Core-CT for MOU/MOA requisitions to State Agencies?</w:t>
      </w:r>
    </w:p>
    <w:p w14:paraId="4ABABF3B" w14:textId="18999711" w:rsidR="00F64BD1" w:rsidRPr="00323C0B" w:rsidRDefault="00FE2EF1" w:rsidP="003D3CAA">
      <w:pPr>
        <w:pStyle w:val="ListParagraph"/>
        <w:rPr>
          <w:rFonts w:ascii="Calibri" w:hAnsi="Calibri" w:cs="Calibri"/>
          <w:sz w:val="24"/>
          <w:szCs w:val="24"/>
        </w:rPr>
      </w:pPr>
      <w:r w:rsidRPr="00323C0B">
        <w:rPr>
          <w:rFonts w:ascii="Calibri" w:hAnsi="Calibri" w:cs="Calibri"/>
          <w:color w:val="0070C0"/>
          <w:sz w:val="24"/>
          <w:szCs w:val="24"/>
        </w:rPr>
        <w:t>Contract</w:t>
      </w:r>
      <w:r w:rsidR="0038324C" w:rsidRPr="00323C0B">
        <w:rPr>
          <w:rFonts w:ascii="Calibri" w:hAnsi="Calibri" w:cs="Calibri"/>
          <w:color w:val="0070C0"/>
          <w:sz w:val="24"/>
          <w:szCs w:val="24"/>
        </w:rPr>
        <w:t xml:space="preserve"> </w:t>
      </w:r>
    </w:p>
    <w:p w14:paraId="64ACB7B9" w14:textId="3ECF30AC" w:rsidR="0038324C" w:rsidRPr="00323C0B" w:rsidRDefault="006B08BB" w:rsidP="002F1AA3">
      <w:pPr>
        <w:pStyle w:val="ListParagraph"/>
        <w:numPr>
          <w:ilvl w:val="0"/>
          <w:numId w:val="10"/>
        </w:numPr>
        <w:rPr>
          <w:rFonts w:ascii="Calibri" w:hAnsi="Calibri" w:cs="Calibri"/>
          <w:color w:val="0070C0"/>
          <w:sz w:val="24"/>
          <w:szCs w:val="24"/>
        </w:rPr>
      </w:pPr>
      <w:r w:rsidRPr="00323C0B">
        <w:rPr>
          <w:rFonts w:ascii="Calibri" w:hAnsi="Calibri" w:cs="Calibri"/>
          <w:sz w:val="24"/>
          <w:szCs w:val="24"/>
        </w:rPr>
        <w:t>When processing a purchase order using an MOU, after you select MOU in the header details, what should be chosen as the purchasing authority from the drop-down?</w:t>
      </w:r>
    </w:p>
    <w:p w14:paraId="67424C6A" w14:textId="344A9D5A" w:rsidR="00AF6DCF" w:rsidRPr="00323C0B" w:rsidRDefault="00CE7986" w:rsidP="003D3CAA">
      <w:pPr>
        <w:pStyle w:val="ListParagraph"/>
        <w:rPr>
          <w:rFonts w:ascii="Calibri" w:hAnsi="Calibri" w:cs="Calibri"/>
          <w:color w:val="0070C0"/>
          <w:sz w:val="24"/>
          <w:szCs w:val="24"/>
        </w:rPr>
      </w:pPr>
      <w:r w:rsidRPr="00323C0B">
        <w:rPr>
          <w:rFonts w:ascii="Calibri" w:hAnsi="Calibri" w:cs="Calibri"/>
          <w:color w:val="0070C0"/>
          <w:sz w:val="24"/>
          <w:szCs w:val="24"/>
        </w:rPr>
        <w:t>Select ‘Contract’. Any contract type that is created in Core-CT (e.g., MOU, General Letter, etc.) should have ‘Contract’ as the purchasing authority for the PO.</w:t>
      </w:r>
    </w:p>
    <w:p w14:paraId="701BC286" w14:textId="7402873D" w:rsidR="00473DF8" w:rsidRPr="00323C0B" w:rsidRDefault="00473DF8" w:rsidP="002F1AA3">
      <w:pPr>
        <w:pStyle w:val="ListParagraph"/>
        <w:numPr>
          <w:ilvl w:val="0"/>
          <w:numId w:val="10"/>
        </w:numPr>
        <w:rPr>
          <w:rFonts w:ascii="Calibri" w:hAnsi="Calibri" w:cs="Calibri"/>
          <w:sz w:val="24"/>
          <w:szCs w:val="24"/>
        </w:rPr>
      </w:pPr>
      <w:r w:rsidRPr="00323C0B">
        <w:rPr>
          <w:rFonts w:ascii="Calibri" w:hAnsi="Calibri" w:cs="Calibri"/>
          <w:sz w:val="24"/>
          <w:szCs w:val="24"/>
        </w:rPr>
        <w:t>Will the GL c-g selections be removed from CORE?</w:t>
      </w:r>
    </w:p>
    <w:p w14:paraId="4E7DCA91" w14:textId="77777777" w:rsidR="00AB5B60" w:rsidRPr="00323C0B" w:rsidRDefault="00AB5B60" w:rsidP="008A1F06">
      <w:pPr>
        <w:pStyle w:val="ListParagraph"/>
        <w:rPr>
          <w:rFonts w:ascii="Calibri" w:hAnsi="Calibri" w:cs="Calibri"/>
          <w:color w:val="0070C0"/>
          <w:sz w:val="24"/>
          <w:szCs w:val="24"/>
        </w:rPr>
      </w:pPr>
      <w:r w:rsidRPr="00323C0B">
        <w:rPr>
          <w:rFonts w:ascii="Calibri" w:hAnsi="Calibri" w:cs="Calibri"/>
          <w:color w:val="0070C0"/>
          <w:sz w:val="24"/>
          <w:szCs w:val="24"/>
        </w:rPr>
        <w:t>They are no longer unavailable for selection.</w:t>
      </w:r>
    </w:p>
    <w:p w14:paraId="0A96CB40" w14:textId="34E8136C" w:rsidR="0063382C" w:rsidRPr="00323C0B" w:rsidRDefault="00991548" w:rsidP="002F1AA3">
      <w:pPr>
        <w:pStyle w:val="ListParagraph"/>
        <w:numPr>
          <w:ilvl w:val="0"/>
          <w:numId w:val="10"/>
        </w:numPr>
        <w:spacing w:before="100" w:beforeAutospacing="1" w:after="100" w:afterAutospacing="1" w:line="240" w:lineRule="auto"/>
        <w:rPr>
          <w:rFonts w:ascii="Calibri" w:hAnsi="Calibri" w:cs="Calibri"/>
          <w:sz w:val="24"/>
          <w:szCs w:val="24"/>
        </w:rPr>
      </w:pPr>
      <w:r w:rsidRPr="00323C0B">
        <w:rPr>
          <w:rFonts w:ascii="Calibri" w:hAnsi="Calibri" w:cs="Calibri"/>
          <w:sz w:val="24"/>
          <w:szCs w:val="24"/>
        </w:rPr>
        <w:t>When using 71B authority, our agency will need to create an Agency contract, therefore we won't have any 71B as our purchasing authority - correct? Should we note in the header of the PO "This is 71B". But if we select Contract, we will need to assign a Contract.</w:t>
      </w:r>
    </w:p>
    <w:p w14:paraId="55F4DD43" w14:textId="77777777" w:rsidR="005D01FA" w:rsidRPr="00323C0B" w:rsidRDefault="005D01FA" w:rsidP="002F1AA3">
      <w:pPr>
        <w:pStyle w:val="ListParagraph"/>
        <w:numPr>
          <w:ilvl w:val="0"/>
          <w:numId w:val="25"/>
        </w:numPr>
        <w:rPr>
          <w:rFonts w:ascii="Calibri" w:hAnsi="Calibri" w:cs="Calibri"/>
          <w:color w:val="0070C0"/>
          <w:sz w:val="24"/>
          <w:szCs w:val="24"/>
        </w:rPr>
      </w:pPr>
      <w:r w:rsidRPr="00323C0B">
        <w:rPr>
          <w:rFonts w:ascii="Calibri" w:hAnsi="Calibri" w:cs="Calibri"/>
          <w:color w:val="0070C0"/>
          <w:sz w:val="24"/>
          <w:szCs w:val="24"/>
        </w:rPr>
        <w:t>Correct: Do not select GL71B as the purchasing authority.</w:t>
      </w:r>
    </w:p>
    <w:p w14:paraId="2DD940D0" w14:textId="77777777" w:rsidR="005D01FA" w:rsidRPr="00323C0B" w:rsidRDefault="005D01FA" w:rsidP="002F1AA3">
      <w:pPr>
        <w:pStyle w:val="ListParagraph"/>
        <w:numPr>
          <w:ilvl w:val="0"/>
          <w:numId w:val="25"/>
        </w:numPr>
        <w:rPr>
          <w:rFonts w:ascii="Calibri" w:hAnsi="Calibri" w:cs="Calibri"/>
          <w:color w:val="0070C0"/>
          <w:sz w:val="24"/>
          <w:szCs w:val="24"/>
        </w:rPr>
      </w:pPr>
      <w:r w:rsidRPr="00323C0B">
        <w:rPr>
          <w:rFonts w:ascii="Calibri" w:hAnsi="Calibri" w:cs="Calibri"/>
          <w:color w:val="0070C0"/>
          <w:sz w:val="24"/>
          <w:szCs w:val="24"/>
        </w:rPr>
        <w:t>Create a Core-CT contract with type "GL".</w:t>
      </w:r>
    </w:p>
    <w:p w14:paraId="02982D81" w14:textId="77777777" w:rsidR="005D01FA" w:rsidRPr="00323C0B" w:rsidRDefault="005D01FA" w:rsidP="002F1AA3">
      <w:pPr>
        <w:pStyle w:val="ListParagraph"/>
        <w:numPr>
          <w:ilvl w:val="0"/>
          <w:numId w:val="25"/>
        </w:numPr>
        <w:rPr>
          <w:rFonts w:ascii="Calibri" w:hAnsi="Calibri" w:cs="Calibri"/>
          <w:color w:val="0070C0"/>
          <w:sz w:val="24"/>
          <w:szCs w:val="24"/>
        </w:rPr>
      </w:pPr>
      <w:r w:rsidRPr="00323C0B">
        <w:rPr>
          <w:rFonts w:ascii="Calibri" w:hAnsi="Calibri" w:cs="Calibri"/>
          <w:color w:val="0070C0"/>
          <w:sz w:val="24"/>
          <w:szCs w:val="24"/>
        </w:rPr>
        <w:t>Use "Contract" as the authority and reference the created contract number.</w:t>
      </w:r>
    </w:p>
    <w:p w14:paraId="7BC69B90" w14:textId="77777777" w:rsidR="00AA2385" w:rsidRPr="006804F3" w:rsidRDefault="00AA2385" w:rsidP="0053774C">
      <w:pPr>
        <w:pStyle w:val="ListParagraph"/>
        <w:numPr>
          <w:ilvl w:val="0"/>
          <w:numId w:val="10"/>
        </w:numPr>
        <w:rPr>
          <w:rFonts w:ascii="Calibri" w:hAnsi="Calibri" w:cs="Calibri"/>
          <w:sz w:val="24"/>
          <w:szCs w:val="24"/>
        </w:rPr>
      </w:pPr>
      <w:r w:rsidRPr="006804F3">
        <w:rPr>
          <w:rFonts w:ascii="Calibri" w:hAnsi="Calibri" w:cs="Calibri"/>
          <w:sz w:val="24"/>
          <w:szCs w:val="24"/>
        </w:rPr>
        <w:t>When utilizing GL-71b ($25-$50k), should the requisition GL-71b or the established contract number?</w:t>
      </w:r>
    </w:p>
    <w:p w14:paraId="7399C1CE" w14:textId="2F7E1A00" w:rsidR="00AA2385" w:rsidRDefault="00B24CAD" w:rsidP="0053774C">
      <w:pPr>
        <w:pStyle w:val="ListParagraph"/>
        <w:spacing w:before="100" w:beforeAutospacing="1" w:after="100" w:afterAutospacing="1" w:line="240" w:lineRule="auto"/>
        <w:rPr>
          <w:rFonts w:ascii="Calibri" w:hAnsi="Calibri" w:cs="Calibri"/>
          <w:color w:val="4F81BD" w:themeColor="accent1"/>
          <w:sz w:val="24"/>
          <w:szCs w:val="24"/>
        </w:rPr>
      </w:pPr>
      <w:r w:rsidRPr="001D0534">
        <w:rPr>
          <w:rFonts w:ascii="Calibri" w:hAnsi="Calibri" w:cs="Calibri"/>
          <w:color w:val="0070C0"/>
          <w:sz w:val="24"/>
          <w:szCs w:val="24"/>
        </w:rPr>
        <w:t xml:space="preserve">The requisition should not list GL71b, the requester must use </w:t>
      </w:r>
      <w:r>
        <w:rPr>
          <w:rFonts w:ascii="Calibri" w:hAnsi="Calibri" w:cs="Calibri"/>
          <w:color w:val="0070C0"/>
          <w:sz w:val="24"/>
          <w:szCs w:val="24"/>
        </w:rPr>
        <w:t xml:space="preserve">‘contract’ as the purchasing authority and enter </w:t>
      </w:r>
      <w:r w:rsidRPr="001D0534">
        <w:rPr>
          <w:rFonts w:ascii="Calibri" w:hAnsi="Calibri" w:cs="Calibri"/>
          <w:color w:val="0070C0"/>
          <w:sz w:val="24"/>
          <w:szCs w:val="24"/>
        </w:rPr>
        <w:t>the e</w:t>
      </w:r>
      <w:r>
        <w:rPr>
          <w:rFonts w:ascii="Calibri" w:hAnsi="Calibri" w:cs="Calibri"/>
          <w:color w:val="0070C0"/>
          <w:sz w:val="24"/>
          <w:szCs w:val="24"/>
        </w:rPr>
        <w:t>xecuted</w:t>
      </w:r>
      <w:r w:rsidRPr="001D0534">
        <w:rPr>
          <w:rFonts w:ascii="Calibri" w:hAnsi="Calibri" w:cs="Calibri"/>
          <w:color w:val="0070C0"/>
          <w:sz w:val="24"/>
          <w:szCs w:val="24"/>
        </w:rPr>
        <w:t xml:space="preserve"> </w:t>
      </w:r>
      <w:r>
        <w:rPr>
          <w:rFonts w:ascii="Calibri" w:hAnsi="Calibri" w:cs="Calibri"/>
          <w:color w:val="0070C0"/>
          <w:sz w:val="24"/>
          <w:szCs w:val="24"/>
        </w:rPr>
        <w:t xml:space="preserve">agency </w:t>
      </w:r>
      <w:r w:rsidRPr="001D0534">
        <w:rPr>
          <w:rFonts w:ascii="Calibri" w:hAnsi="Calibri" w:cs="Calibri"/>
          <w:color w:val="0070C0"/>
          <w:sz w:val="24"/>
          <w:szCs w:val="24"/>
        </w:rPr>
        <w:t>contract number</w:t>
      </w:r>
      <w:r>
        <w:rPr>
          <w:rFonts w:ascii="Calibri" w:hAnsi="Calibri" w:cs="Calibri"/>
          <w:color w:val="0070C0"/>
          <w:sz w:val="24"/>
          <w:szCs w:val="24"/>
        </w:rPr>
        <w:t>.</w:t>
      </w:r>
    </w:p>
    <w:p w14:paraId="16311689" w14:textId="77777777" w:rsidR="00281AF2" w:rsidRPr="006804F3" w:rsidRDefault="00281AF2" w:rsidP="006337BD">
      <w:pPr>
        <w:pStyle w:val="ListParagraph"/>
        <w:numPr>
          <w:ilvl w:val="0"/>
          <w:numId w:val="10"/>
        </w:numPr>
        <w:rPr>
          <w:rFonts w:ascii="Calibri" w:hAnsi="Calibri" w:cs="Calibri"/>
          <w:sz w:val="24"/>
          <w:szCs w:val="24"/>
        </w:rPr>
      </w:pPr>
      <w:r w:rsidRPr="006804F3">
        <w:rPr>
          <w:rFonts w:ascii="Calibri" w:hAnsi="Calibri" w:cs="Calibri"/>
          <w:sz w:val="24"/>
          <w:szCs w:val="24"/>
        </w:rPr>
        <w:t>What is the process for handling all interoffice project POs? Can we keep them open by changing them from Gl-71f to Con POs?</w:t>
      </w:r>
    </w:p>
    <w:p w14:paraId="3FCB8020" w14:textId="743A3F9D" w:rsidR="00281AF2" w:rsidRDefault="00281AF2" w:rsidP="00281AF2">
      <w:pPr>
        <w:pStyle w:val="ListParagraph"/>
        <w:spacing w:before="100" w:beforeAutospacing="1" w:after="100" w:afterAutospacing="1" w:line="240" w:lineRule="auto"/>
        <w:rPr>
          <w:rFonts w:ascii="Calibri" w:hAnsi="Calibri" w:cs="Calibri"/>
          <w:sz w:val="24"/>
          <w:szCs w:val="24"/>
        </w:rPr>
      </w:pPr>
      <w:r w:rsidRPr="006804F3">
        <w:rPr>
          <w:rFonts w:ascii="Calibri" w:hAnsi="Calibri" w:cs="Calibri"/>
          <w:color w:val="4F81BD" w:themeColor="accent1"/>
          <w:sz w:val="24"/>
          <w:szCs w:val="24"/>
        </w:rPr>
        <w:t>Agencies are permitted to use the “Continuing PO” purchasing authority for the entire term of the PO. POs created under this guidance cannot be extended. A new PO must be issued under the appropriate purchasing authority once the PO expires.</w:t>
      </w:r>
    </w:p>
    <w:p w14:paraId="536DE20E" w14:textId="4FDFB9FB" w:rsidR="0011168E" w:rsidRDefault="001C6949" w:rsidP="002F1AA3">
      <w:pPr>
        <w:pStyle w:val="ListParagraph"/>
        <w:numPr>
          <w:ilvl w:val="0"/>
          <w:numId w:val="10"/>
        </w:numPr>
        <w:spacing w:before="100" w:beforeAutospacing="1" w:after="100" w:afterAutospacing="1" w:line="240" w:lineRule="auto"/>
        <w:rPr>
          <w:rFonts w:ascii="Calibri" w:hAnsi="Calibri" w:cs="Calibri"/>
          <w:sz w:val="24"/>
          <w:szCs w:val="24"/>
        </w:rPr>
      </w:pPr>
      <w:r w:rsidRPr="008E78BC">
        <w:rPr>
          <w:rFonts w:ascii="Calibri" w:hAnsi="Calibri" w:cs="Calibri"/>
          <w:sz w:val="24"/>
          <w:szCs w:val="24"/>
        </w:rPr>
        <w:t>We are paying another agency and cannot use a non-PO voucher as we need to track the purchase with a requisition/PO. We do not and cannot issue a MOU for every transaction. We need a mechanism to notify when a service needs to be done either with an agency or a town. What can we do</w:t>
      </w:r>
      <w:r>
        <w:rPr>
          <w:rFonts w:ascii="Calibri" w:hAnsi="Calibri" w:cs="Calibri"/>
          <w:sz w:val="24"/>
          <w:szCs w:val="24"/>
        </w:rPr>
        <w:t>?</w:t>
      </w:r>
    </w:p>
    <w:p w14:paraId="37CDFAC5" w14:textId="77777777" w:rsidR="009E4158" w:rsidRDefault="009E4158" w:rsidP="009E4158">
      <w:pPr>
        <w:pStyle w:val="ListParagraph"/>
        <w:numPr>
          <w:ilvl w:val="0"/>
          <w:numId w:val="39"/>
        </w:numPr>
        <w:spacing w:after="160" w:line="278" w:lineRule="auto"/>
        <w:rPr>
          <w:rFonts w:ascii="Calibri" w:hAnsi="Calibri" w:cs="Calibri"/>
          <w:color w:val="0070C0"/>
        </w:rPr>
      </w:pPr>
      <w:r w:rsidRPr="008E78BC">
        <w:rPr>
          <w:rFonts w:ascii="Calibri" w:hAnsi="Calibri" w:cs="Calibri"/>
          <w:color w:val="0070C0"/>
          <w:sz w:val="24"/>
          <w:szCs w:val="24"/>
        </w:rPr>
        <w:t xml:space="preserve">MOU </w:t>
      </w:r>
      <w:r>
        <w:rPr>
          <w:rFonts w:ascii="Calibri" w:hAnsi="Calibri" w:cs="Calibri"/>
          <w:color w:val="0070C0"/>
        </w:rPr>
        <w:t>is the course of action to track the transaction with a PO. The MOU can cover multiple transactions over an extended period.</w:t>
      </w:r>
    </w:p>
    <w:p w14:paraId="741A3AD8" w14:textId="77777777" w:rsidR="009E4158" w:rsidRPr="008E78BC" w:rsidRDefault="009E4158" w:rsidP="009E4158">
      <w:pPr>
        <w:pStyle w:val="ListParagraph"/>
        <w:numPr>
          <w:ilvl w:val="0"/>
          <w:numId w:val="39"/>
        </w:numPr>
        <w:spacing w:after="160" w:line="278" w:lineRule="auto"/>
        <w:rPr>
          <w:rFonts w:ascii="Calibri" w:hAnsi="Calibri" w:cs="Calibri"/>
          <w:color w:val="0070C0"/>
          <w:sz w:val="24"/>
          <w:szCs w:val="24"/>
        </w:rPr>
      </w:pPr>
      <w:r>
        <w:rPr>
          <w:rFonts w:ascii="Calibri" w:hAnsi="Calibri" w:cs="Calibri"/>
          <w:color w:val="0070C0"/>
        </w:rPr>
        <w:t xml:space="preserve">MOUs </w:t>
      </w:r>
      <w:r w:rsidRPr="008E78BC">
        <w:rPr>
          <w:rFonts w:ascii="Calibri" w:hAnsi="Calibri" w:cs="Calibri"/>
          <w:color w:val="0070C0"/>
          <w:sz w:val="24"/>
          <w:szCs w:val="24"/>
        </w:rPr>
        <w:t>typically consist of standardized language that should be reviewed and approved by your agency’s legal team, and in some cases, the Office of the Attorney General (AG) may also need to sign off.</w:t>
      </w:r>
    </w:p>
    <w:p w14:paraId="2D506429" w14:textId="77777777" w:rsidR="009E4158" w:rsidRPr="008E78BC" w:rsidRDefault="009E4158" w:rsidP="009E4158">
      <w:pPr>
        <w:pStyle w:val="ListParagraph"/>
        <w:numPr>
          <w:ilvl w:val="0"/>
          <w:numId w:val="39"/>
        </w:numPr>
        <w:spacing w:after="160" w:line="278" w:lineRule="auto"/>
        <w:rPr>
          <w:rFonts w:ascii="Calibri" w:hAnsi="Calibri" w:cs="Calibri"/>
          <w:color w:val="0070C0"/>
          <w:sz w:val="24"/>
          <w:szCs w:val="24"/>
        </w:rPr>
      </w:pPr>
      <w:r w:rsidRPr="008E78BC">
        <w:rPr>
          <w:rFonts w:ascii="Calibri" w:hAnsi="Calibri" w:cs="Calibri"/>
          <w:color w:val="0070C0"/>
          <w:sz w:val="24"/>
          <w:szCs w:val="24"/>
        </w:rPr>
        <w:t>Once the MOU is fully executed by both agencies, the following steps should be taken:</w:t>
      </w:r>
    </w:p>
    <w:p w14:paraId="001F3DC2" w14:textId="77777777" w:rsidR="009E4158" w:rsidRPr="008E78BC" w:rsidRDefault="009E4158" w:rsidP="009E4158">
      <w:pPr>
        <w:pStyle w:val="ListParagraph"/>
        <w:numPr>
          <w:ilvl w:val="0"/>
          <w:numId w:val="40"/>
        </w:numPr>
        <w:spacing w:after="160" w:line="278" w:lineRule="auto"/>
        <w:rPr>
          <w:rFonts w:ascii="Calibri" w:hAnsi="Calibri" w:cs="Calibri"/>
          <w:color w:val="0070C0"/>
          <w:sz w:val="24"/>
          <w:szCs w:val="24"/>
        </w:rPr>
      </w:pPr>
      <w:r w:rsidRPr="008E78BC">
        <w:rPr>
          <w:rFonts w:ascii="Calibri" w:hAnsi="Calibri" w:cs="Calibri"/>
          <w:color w:val="0070C0"/>
          <w:sz w:val="24"/>
          <w:szCs w:val="24"/>
        </w:rPr>
        <w:t>Enter a requisition in Core-CT.</w:t>
      </w:r>
    </w:p>
    <w:p w14:paraId="4990EC2E" w14:textId="77777777" w:rsidR="009E4158" w:rsidRPr="008E78BC" w:rsidRDefault="009E4158" w:rsidP="009E4158">
      <w:pPr>
        <w:pStyle w:val="ListParagraph"/>
        <w:numPr>
          <w:ilvl w:val="0"/>
          <w:numId w:val="40"/>
        </w:numPr>
        <w:spacing w:after="160" w:line="278" w:lineRule="auto"/>
        <w:rPr>
          <w:rFonts w:ascii="Calibri" w:hAnsi="Calibri" w:cs="Calibri"/>
          <w:color w:val="0070C0"/>
          <w:sz w:val="24"/>
          <w:szCs w:val="24"/>
        </w:rPr>
      </w:pPr>
      <w:r w:rsidRPr="008E78BC">
        <w:rPr>
          <w:rFonts w:ascii="Calibri" w:hAnsi="Calibri" w:cs="Calibri"/>
          <w:color w:val="0070C0"/>
          <w:sz w:val="24"/>
          <w:szCs w:val="24"/>
        </w:rPr>
        <w:t>Convert the requisition into a contract.</w:t>
      </w:r>
    </w:p>
    <w:p w14:paraId="6241F159" w14:textId="77777777" w:rsidR="009E4158" w:rsidRPr="009E4158" w:rsidRDefault="009E4158" w:rsidP="00A37FD7">
      <w:pPr>
        <w:pStyle w:val="ListParagraph"/>
        <w:numPr>
          <w:ilvl w:val="0"/>
          <w:numId w:val="40"/>
        </w:numPr>
        <w:spacing w:before="100" w:beforeAutospacing="1" w:after="100" w:afterAutospacing="1" w:line="240" w:lineRule="auto"/>
        <w:rPr>
          <w:rFonts w:ascii="Calibri" w:hAnsi="Calibri" w:cs="Calibri"/>
          <w:sz w:val="24"/>
          <w:szCs w:val="24"/>
        </w:rPr>
      </w:pPr>
      <w:r w:rsidRPr="009E4158">
        <w:rPr>
          <w:rFonts w:ascii="Calibri" w:hAnsi="Calibri" w:cs="Calibri"/>
          <w:color w:val="0070C0"/>
          <w:sz w:val="24"/>
          <w:szCs w:val="24"/>
        </w:rPr>
        <w:t>Attach the executed MOU to the contract record.</w:t>
      </w:r>
    </w:p>
    <w:p w14:paraId="61EE6380" w14:textId="16D4DA8C" w:rsidR="001C6949" w:rsidRPr="009E4158" w:rsidRDefault="009E4158" w:rsidP="00A37FD7">
      <w:pPr>
        <w:pStyle w:val="ListParagraph"/>
        <w:numPr>
          <w:ilvl w:val="0"/>
          <w:numId w:val="40"/>
        </w:numPr>
        <w:spacing w:before="100" w:beforeAutospacing="1" w:after="100" w:afterAutospacing="1" w:line="240" w:lineRule="auto"/>
        <w:rPr>
          <w:rFonts w:ascii="Calibri" w:hAnsi="Calibri" w:cs="Calibri"/>
          <w:sz w:val="24"/>
          <w:szCs w:val="24"/>
        </w:rPr>
      </w:pPr>
      <w:r w:rsidRPr="009E4158">
        <w:rPr>
          <w:rFonts w:ascii="Calibri" w:hAnsi="Calibri" w:cs="Calibri"/>
          <w:color w:val="0070C0"/>
          <w:sz w:val="24"/>
          <w:szCs w:val="24"/>
        </w:rPr>
        <w:t>Issue the applicable purchase order(s) to authorize spending</w:t>
      </w:r>
      <w:r>
        <w:rPr>
          <w:rFonts w:ascii="Calibri" w:hAnsi="Calibri" w:cs="Calibri"/>
          <w:color w:val="0070C0"/>
          <w:sz w:val="24"/>
          <w:szCs w:val="24"/>
        </w:rPr>
        <w:t>.</w:t>
      </w:r>
    </w:p>
    <w:p w14:paraId="6DD35396" w14:textId="71AEA146" w:rsidR="00AE5952" w:rsidRPr="00323C0B" w:rsidRDefault="00757164" w:rsidP="002F1AA3">
      <w:pPr>
        <w:pStyle w:val="ListParagraph"/>
        <w:numPr>
          <w:ilvl w:val="0"/>
          <w:numId w:val="10"/>
        </w:numPr>
        <w:spacing w:before="100" w:beforeAutospacing="1" w:after="100" w:afterAutospacing="1" w:line="240" w:lineRule="auto"/>
        <w:rPr>
          <w:rFonts w:ascii="Calibri" w:hAnsi="Calibri" w:cs="Calibri"/>
          <w:sz w:val="24"/>
          <w:szCs w:val="24"/>
        </w:rPr>
      </w:pPr>
      <w:r w:rsidRPr="00323C0B">
        <w:rPr>
          <w:rFonts w:ascii="Calibri" w:hAnsi="Calibri" w:cs="Calibri"/>
          <w:sz w:val="24"/>
          <w:szCs w:val="24"/>
        </w:rPr>
        <w:t>Continuing Purchase Orders (POs) for Multi-Year Software Subscriptions</w:t>
      </w:r>
      <w:r w:rsidR="00E673CD" w:rsidRPr="00323C0B">
        <w:rPr>
          <w:rFonts w:ascii="Calibri" w:hAnsi="Calibri" w:cs="Calibri"/>
          <w:sz w:val="24"/>
          <w:szCs w:val="24"/>
        </w:rPr>
        <w:t>:</w:t>
      </w:r>
      <w:r w:rsidRPr="00323C0B">
        <w:rPr>
          <w:rFonts w:ascii="Calibri" w:hAnsi="Calibri" w:cs="Calibri"/>
          <w:sz w:val="24"/>
          <w:szCs w:val="24"/>
        </w:rPr>
        <w:t xml:space="preserve"> Can these POs be amended to include a change in scope and additional pricing?</w:t>
      </w:r>
    </w:p>
    <w:p w14:paraId="7872D865" w14:textId="30880923" w:rsidR="00757164" w:rsidRPr="00323C0B" w:rsidRDefault="00757164" w:rsidP="00AE5952">
      <w:pPr>
        <w:pStyle w:val="ListParagraph"/>
        <w:spacing w:before="100" w:beforeAutospacing="1" w:after="100" w:afterAutospacing="1" w:line="240" w:lineRule="auto"/>
        <w:rPr>
          <w:rFonts w:ascii="Calibri" w:hAnsi="Calibri" w:cs="Calibri"/>
          <w:color w:val="0070C0"/>
          <w:sz w:val="24"/>
          <w:szCs w:val="24"/>
        </w:rPr>
      </w:pPr>
      <w:r w:rsidRPr="00323C0B">
        <w:rPr>
          <w:rFonts w:ascii="Calibri" w:hAnsi="Calibri" w:cs="Calibri"/>
          <w:color w:val="0070C0"/>
          <w:sz w:val="24"/>
          <w:szCs w:val="24"/>
        </w:rPr>
        <w:t xml:space="preserve">No. You must submit a DAS-BID requisition to DAS Procurement for review. Be sure to reference the existing PO number and include all current documentation along with the new scope and pricing details. DAS Procurement will coordinate with you and your CSM to determine </w:t>
      </w:r>
      <w:proofErr w:type="gramStart"/>
      <w:r w:rsidRPr="00323C0B">
        <w:rPr>
          <w:rFonts w:ascii="Calibri" w:hAnsi="Calibri" w:cs="Calibri"/>
          <w:color w:val="0070C0"/>
          <w:sz w:val="24"/>
          <w:szCs w:val="24"/>
        </w:rPr>
        <w:t>next</w:t>
      </w:r>
      <w:proofErr w:type="gramEnd"/>
      <w:r w:rsidRPr="00323C0B">
        <w:rPr>
          <w:rFonts w:ascii="Calibri" w:hAnsi="Calibri" w:cs="Calibri"/>
          <w:color w:val="0070C0"/>
          <w:sz w:val="24"/>
          <w:szCs w:val="24"/>
        </w:rPr>
        <w:t xml:space="preserve"> steps. These steps may include using a reseller agreement under an existing DAS contract or creating a new DAS contract for the software subscription.</w:t>
      </w:r>
    </w:p>
    <w:p w14:paraId="68E49CD7" w14:textId="77777777" w:rsidR="00757164" w:rsidRPr="00323C0B" w:rsidRDefault="00757164" w:rsidP="00AE5952">
      <w:pPr>
        <w:spacing w:before="100" w:beforeAutospacing="1" w:after="100" w:afterAutospacing="1" w:line="240" w:lineRule="auto"/>
        <w:ind w:left="720"/>
        <w:rPr>
          <w:rFonts w:ascii="Calibri" w:hAnsi="Calibri" w:cs="Calibri"/>
          <w:color w:val="0070C0"/>
          <w:sz w:val="24"/>
          <w:szCs w:val="24"/>
        </w:rPr>
      </w:pPr>
      <w:r w:rsidRPr="00323C0B">
        <w:rPr>
          <w:rFonts w:ascii="Calibri" w:hAnsi="Calibri" w:cs="Calibri"/>
          <w:color w:val="0070C0"/>
          <w:sz w:val="24"/>
          <w:szCs w:val="24"/>
        </w:rPr>
        <w:t>To avoid service lapses, do not close the PO until DAS Procurement instructs you to do so. Once a new DAS contract is fully executed, it will require issuance of a new PO.</w:t>
      </w:r>
    </w:p>
    <w:p w14:paraId="34B1DCB4" w14:textId="77777777" w:rsidR="00757164" w:rsidRPr="00323C0B" w:rsidRDefault="00757164" w:rsidP="00D54613">
      <w:pPr>
        <w:spacing w:before="100" w:beforeAutospacing="1" w:after="100" w:afterAutospacing="1" w:line="240" w:lineRule="auto"/>
        <w:ind w:left="720"/>
        <w:rPr>
          <w:rFonts w:ascii="Calibri" w:hAnsi="Calibri" w:cs="Calibri"/>
          <w:color w:val="0070C0"/>
          <w:sz w:val="24"/>
          <w:szCs w:val="24"/>
        </w:rPr>
      </w:pPr>
      <w:r w:rsidRPr="00323C0B">
        <w:rPr>
          <w:rFonts w:ascii="Calibri" w:hAnsi="Calibri" w:cs="Calibri"/>
          <w:color w:val="0070C0"/>
          <w:sz w:val="24"/>
          <w:szCs w:val="24"/>
        </w:rPr>
        <w:t>Important Notes:</w:t>
      </w:r>
    </w:p>
    <w:p w14:paraId="266CB93D" w14:textId="3888D373" w:rsidR="00757164" w:rsidRPr="00323C0B" w:rsidRDefault="00757164" w:rsidP="002F1AA3">
      <w:pPr>
        <w:numPr>
          <w:ilvl w:val="0"/>
          <w:numId w:val="20"/>
        </w:numPr>
        <w:spacing w:before="100" w:beforeAutospacing="1" w:after="100" w:afterAutospacing="1" w:line="240" w:lineRule="auto"/>
        <w:rPr>
          <w:rFonts w:ascii="Calibri" w:hAnsi="Calibri" w:cs="Calibri"/>
          <w:color w:val="0070C0"/>
          <w:sz w:val="24"/>
          <w:szCs w:val="24"/>
        </w:rPr>
      </w:pPr>
      <w:r w:rsidRPr="00323C0B">
        <w:rPr>
          <w:rFonts w:ascii="Calibri" w:hAnsi="Calibri" w:cs="Calibri"/>
          <w:color w:val="0070C0"/>
          <w:sz w:val="24"/>
          <w:szCs w:val="24"/>
        </w:rPr>
        <w:t xml:space="preserve">Continuing POs </w:t>
      </w:r>
      <w:r w:rsidR="007C33AE" w:rsidRPr="00323C0B">
        <w:rPr>
          <w:rFonts w:ascii="Calibri" w:hAnsi="Calibri" w:cs="Calibri"/>
          <w:color w:val="0070C0"/>
          <w:sz w:val="24"/>
          <w:szCs w:val="24"/>
        </w:rPr>
        <w:t>can</w:t>
      </w:r>
      <w:r w:rsidRPr="00323C0B">
        <w:rPr>
          <w:rFonts w:ascii="Calibri" w:hAnsi="Calibri" w:cs="Calibri"/>
          <w:color w:val="0070C0"/>
          <w:sz w:val="24"/>
          <w:szCs w:val="24"/>
        </w:rPr>
        <w:t>not be amended. If changes are necessary, a new PO must be issued under the appropriate procurement authority.</w:t>
      </w:r>
    </w:p>
    <w:p w14:paraId="340B1674" w14:textId="76BE17BB" w:rsidR="00757164" w:rsidRPr="00323C0B" w:rsidRDefault="00757164" w:rsidP="002F1AA3">
      <w:pPr>
        <w:numPr>
          <w:ilvl w:val="0"/>
          <w:numId w:val="20"/>
        </w:numPr>
        <w:spacing w:before="100" w:beforeAutospacing="1" w:after="100" w:afterAutospacing="1" w:line="240" w:lineRule="auto"/>
        <w:rPr>
          <w:rFonts w:ascii="Calibri" w:hAnsi="Calibri" w:cs="Calibri"/>
          <w:color w:val="0070C0"/>
          <w:sz w:val="24"/>
          <w:szCs w:val="24"/>
        </w:rPr>
      </w:pPr>
      <w:r w:rsidRPr="00323C0B">
        <w:rPr>
          <w:rFonts w:ascii="Calibri" w:hAnsi="Calibri" w:cs="Calibri"/>
          <w:color w:val="0070C0"/>
          <w:sz w:val="24"/>
          <w:szCs w:val="24"/>
        </w:rPr>
        <w:t>If you’re unsure how to proceed, submit a DAS-BID requisition</w:t>
      </w:r>
      <w:r w:rsidR="00E20325" w:rsidRPr="00323C0B">
        <w:rPr>
          <w:rFonts w:ascii="Calibri" w:hAnsi="Calibri" w:cs="Calibri"/>
          <w:color w:val="0070C0"/>
          <w:sz w:val="24"/>
          <w:szCs w:val="24"/>
        </w:rPr>
        <w:t>,</w:t>
      </w:r>
      <w:r w:rsidRPr="00323C0B">
        <w:rPr>
          <w:rFonts w:ascii="Calibri" w:hAnsi="Calibri" w:cs="Calibri"/>
          <w:color w:val="0070C0"/>
          <w:sz w:val="24"/>
          <w:szCs w:val="24"/>
        </w:rPr>
        <w:t xml:space="preserve"> referenc</w:t>
      </w:r>
      <w:r w:rsidR="00E20325" w:rsidRPr="00323C0B">
        <w:rPr>
          <w:rFonts w:ascii="Calibri" w:hAnsi="Calibri" w:cs="Calibri"/>
          <w:color w:val="0070C0"/>
          <w:sz w:val="24"/>
          <w:szCs w:val="24"/>
        </w:rPr>
        <w:t>e</w:t>
      </w:r>
      <w:r w:rsidRPr="00323C0B">
        <w:rPr>
          <w:rFonts w:ascii="Calibri" w:hAnsi="Calibri" w:cs="Calibri"/>
          <w:color w:val="0070C0"/>
          <w:sz w:val="24"/>
          <w:szCs w:val="24"/>
        </w:rPr>
        <w:t xml:space="preserve"> the current PO number and provid</w:t>
      </w:r>
      <w:r w:rsidR="00E20325" w:rsidRPr="00323C0B">
        <w:rPr>
          <w:rFonts w:ascii="Calibri" w:hAnsi="Calibri" w:cs="Calibri"/>
          <w:color w:val="0070C0"/>
          <w:sz w:val="24"/>
          <w:szCs w:val="24"/>
        </w:rPr>
        <w:t>e</w:t>
      </w:r>
      <w:r w:rsidRPr="00323C0B">
        <w:rPr>
          <w:rFonts w:ascii="Calibri" w:hAnsi="Calibri" w:cs="Calibri"/>
          <w:color w:val="0070C0"/>
          <w:sz w:val="24"/>
          <w:szCs w:val="24"/>
        </w:rPr>
        <w:t xml:space="preserve"> details of the requested change. DAS Procurement will advise you on the appropriate course of action.</w:t>
      </w:r>
    </w:p>
    <w:p w14:paraId="286929F2" w14:textId="577F87FA" w:rsidR="00757164" w:rsidRPr="00323C0B" w:rsidRDefault="007C33AE" w:rsidP="002F1AA3">
      <w:pPr>
        <w:numPr>
          <w:ilvl w:val="0"/>
          <w:numId w:val="20"/>
        </w:numPr>
        <w:spacing w:before="100" w:beforeAutospacing="1" w:after="100" w:afterAutospacing="1" w:line="240" w:lineRule="auto"/>
        <w:rPr>
          <w:rFonts w:ascii="Calibri" w:hAnsi="Calibri" w:cs="Calibri"/>
          <w:color w:val="0070C0"/>
          <w:sz w:val="24"/>
          <w:szCs w:val="24"/>
        </w:rPr>
      </w:pPr>
      <w:r w:rsidRPr="00323C0B">
        <w:rPr>
          <w:rFonts w:ascii="Calibri" w:hAnsi="Calibri" w:cs="Calibri"/>
          <w:color w:val="0070C0"/>
          <w:sz w:val="24"/>
          <w:szCs w:val="24"/>
        </w:rPr>
        <w:t>Effective July 1, 2025, C</w:t>
      </w:r>
      <w:r w:rsidR="00757164" w:rsidRPr="00323C0B">
        <w:rPr>
          <w:rFonts w:ascii="Calibri" w:hAnsi="Calibri" w:cs="Calibri"/>
          <w:color w:val="0070C0"/>
          <w:sz w:val="24"/>
          <w:szCs w:val="24"/>
        </w:rPr>
        <w:t xml:space="preserve">ontinuing POs are no longer permitted, </w:t>
      </w:r>
      <w:r w:rsidR="003866D4" w:rsidRPr="00323C0B">
        <w:rPr>
          <w:rFonts w:ascii="Calibri" w:hAnsi="Calibri" w:cs="Calibri"/>
          <w:color w:val="0070C0"/>
          <w:sz w:val="24"/>
          <w:szCs w:val="24"/>
        </w:rPr>
        <w:t xml:space="preserve">with GL71 transactions. </w:t>
      </w:r>
    </w:p>
    <w:p w14:paraId="47E70C9D" w14:textId="77777777" w:rsidR="004E6883" w:rsidRPr="00323C0B" w:rsidRDefault="004E6883" w:rsidP="002F1AA3">
      <w:pPr>
        <w:pStyle w:val="ListParagraph"/>
        <w:numPr>
          <w:ilvl w:val="0"/>
          <w:numId w:val="10"/>
        </w:numPr>
        <w:rPr>
          <w:rFonts w:ascii="Calibri" w:hAnsi="Calibri" w:cs="Calibri"/>
          <w:sz w:val="24"/>
          <w:szCs w:val="24"/>
        </w:rPr>
      </w:pPr>
      <w:r w:rsidRPr="00323C0B">
        <w:rPr>
          <w:rFonts w:ascii="Calibri" w:hAnsi="Calibri" w:cs="Calibri"/>
          <w:sz w:val="24"/>
          <w:szCs w:val="24"/>
        </w:rPr>
        <w:t>How do agencies using Core-CT but outside the executive branch process make purchases?</w:t>
      </w:r>
    </w:p>
    <w:p w14:paraId="05DBBD54" w14:textId="77777777" w:rsidR="004E6883" w:rsidRPr="00323C0B" w:rsidRDefault="004E6883" w:rsidP="004E6883">
      <w:pPr>
        <w:pStyle w:val="ListParagraph"/>
        <w:rPr>
          <w:rFonts w:ascii="Calibri" w:hAnsi="Calibri" w:cs="Calibri"/>
          <w:color w:val="0070C0"/>
          <w:sz w:val="24"/>
          <w:szCs w:val="24"/>
        </w:rPr>
      </w:pPr>
      <w:r w:rsidRPr="00323C0B">
        <w:rPr>
          <w:rFonts w:ascii="Calibri" w:hAnsi="Calibri" w:cs="Calibri"/>
          <w:color w:val="0070C0"/>
          <w:sz w:val="24"/>
          <w:szCs w:val="24"/>
        </w:rPr>
        <w:t xml:space="preserve">GL71 is a delegated procurement authority to Executive Branch agencies only and should not be confused with guidance for using </w:t>
      </w:r>
      <w:proofErr w:type="spellStart"/>
      <w:r w:rsidRPr="00323C0B">
        <w:rPr>
          <w:rFonts w:ascii="Calibri" w:hAnsi="Calibri" w:cs="Calibri"/>
          <w:color w:val="0070C0"/>
          <w:sz w:val="24"/>
          <w:szCs w:val="24"/>
        </w:rPr>
        <w:t>CoreCT</w:t>
      </w:r>
      <w:proofErr w:type="spellEnd"/>
      <w:r w:rsidRPr="00323C0B">
        <w:rPr>
          <w:rFonts w:ascii="Calibri" w:hAnsi="Calibri" w:cs="Calibri"/>
          <w:color w:val="0070C0"/>
          <w:sz w:val="24"/>
          <w:szCs w:val="24"/>
        </w:rPr>
        <w:t xml:space="preserve">. Other entities must follow their own statutes for procurement authority; however, all state agencies may use DAS statewide contracts at their discretion. Directions regarding transaction processing in </w:t>
      </w:r>
      <w:proofErr w:type="spellStart"/>
      <w:r w:rsidRPr="00323C0B">
        <w:rPr>
          <w:rFonts w:ascii="Calibri" w:hAnsi="Calibri" w:cs="Calibri"/>
          <w:color w:val="0070C0"/>
          <w:sz w:val="24"/>
          <w:szCs w:val="24"/>
        </w:rPr>
        <w:t>CoreCT</w:t>
      </w:r>
      <w:proofErr w:type="spellEnd"/>
      <w:r w:rsidRPr="00323C0B">
        <w:rPr>
          <w:rFonts w:ascii="Calibri" w:hAnsi="Calibri" w:cs="Calibri"/>
          <w:color w:val="0070C0"/>
          <w:sz w:val="24"/>
          <w:szCs w:val="24"/>
        </w:rPr>
        <w:t xml:space="preserve"> affect all users of </w:t>
      </w:r>
      <w:proofErr w:type="spellStart"/>
      <w:r w:rsidRPr="00323C0B">
        <w:rPr>
          <w:rFonts w:ascii="Calibri" w:hAnsi="Calibri" w:cs="Calibri"/>
          <w:color w:val="0070C0"/>
          <w:sz w:val="24"/>
          <w:szCs w:val="24"/>
        </w:rPr>
        <w:t>CoreCT</w:t>
      </w:r>
      <w:proofErr w:type="spellEnd"/>
      <w:r w:rsidRPr="00323C0B">
        <w:rPr>
          <w:rFonts w:ascii="Calibri" w:hAnsi="Calibri" w:cs="Calibri"/>
          <w:color w:val="0070C0"/>
          <w:sz w:val="24"/>
          <w:szCs w:val="24"/>
        </w:rPr>
        <w:t>.</w:t>
      </w:r>
    </w:p>
    <w:p w14:paraId="59FAEE45" w14:textId="77777777" w:rsidR="004E6883" w:rsidRPr="00323C0B" w:rsidRDefault="004E6883" w:rsidP="002F1AA3">
      <w:pPr>
        <w:pStyle w:val="ListParagraph"/>
        <w:numPr>
          <w:ilvl w:val="0"/>
          <w:numId w:val="10"/>
        </w:numPr>
        <w:rPr>
          <w:rFonts w:ascii="Calibri" w:hAnsi="Calibri" w:cs="Calibri"/>
          <w:sz w:val="24"/>
          <w:szCs w:val="24"/>
        </w:rPr>
      </w:pPr>
      <w:r w:rsidRPr="00323C0B">
        <w:rPr>
          <w:rFonts w:ascii="Calibri" w:hAnsi="Calibri" w:cs="Calibri"/>
          <w:sz w:val="24"/>
          <w:szCs w:val="24"/>
        </w:rPr>
        <w:t>Can state agencies outside of the executive branch use another state agency’s contract in Core-CT?</w:t>
      </w:r>
    </w:p>
    <w:p w14:paraId="6340D891" w14:textId="77777777" w:rsidR="00BC7E54" w:rsidRPr="00323C0B" w:rsidRDefault="00BC7E54" w:rsidP="00BC7E54">
      <w:pPr>
        <w:pStyle w:val="ListParagraph"/>
        <w:rPr>
          <w:rFonts w:ascii="Calibri" w:hAnsi="Calibri" w:cs="Calibri"/>
          <w:color w:val="0070C0"/>
          <w:sz w:val="24"/>
          <w:szCs w:val="24"/>
        </w:rPr>
      </w:pPr>
      <w:r w:rsidRPr="00323C0B">
        <w:rPr>
          <w:rFonts w:ascii="Calibri" w:hAnsi="Calibri" w:cs="Calibri"/>
          <w:color w:val="0070C0"/>
          <w:sz w:val="24"/>
          <w:szCs w:val="24"/>
        </w:rPr>
        <w:t>Outside of DAS purchasing authority, unique cases may allow multiple agencies to use a contract if their agency statutes allow - consult with legal counsel. In those cases, the appropriate business units must be entered into Core-CT to use the contract. If the contract is not entered into Core-CT, the CGS purchasing authority would be selected with the appropriate statute referenced in comments.</w:t>
      </w:r>
    </w:p>
    <w:p w14:paraId="49C11E46" w14:textId="77777777" w:rsidR="00BC7E54" w:rsidRPr="00323C0B" w:rsidRDefault="00BC7E54" w:rsidP="00BC7E54">
      <w:pPr>
        <w:pStyle w:val="ListParagraph"/>
        <w:rPr>
          <w:rFonts w:ascii="Calibri" w:hAnsi="Calibri" w:cs="Calibri"/>
          <w:color w:val="0070C0"/>
          <w:sz w:val="24"/>
          <w:szCs w:val="24"/>
        </w:rPr>
      </w:pPr>
    </w:p>
    <w:p w14:paraId="1E964C0C" w14:textId="6065BA25" w:rsidR="00607BF0" w:rsidRPr="00323C0B" w:rsidRDefault="00BC7E54" w:rsidP="00BC7E54">
      <w:pPr>
        <w:pStyle w:val="ListParagraph"/>
        <w:rPr>
          <w:rFonts w:ascii="Calibri" w:hAnsi="Calibri" w:cs="Calibri"/>
          <w:color w:val="0070C0"/>
          <w:sz w:val="24"/>
          <w:szCs w:val="24"/>
        </w:rPr>
      </w:pPr>
      <w:r w:rsidRPr="00323C0B">
        <w:rPr>
          <w:rFonts w:ascii="Calibri" w:hAnsi="Calibri" w:cs="Calibri"/>
          <w:color w:val="0070C0"/>
          <w:sz w:val="24"/>
          <w:szCs w:val="24"/>
        </w:rPr>
        <w:t>DAS statewide contracts are the only contracts that allow for all business units to purchase from the contract. If an executive branch agency would like to piggyback another government agency contract, complete a DAS-BID requisition with pertinent details.</w:t>
      </w:r>
    </w:p>
    <w:p w14:paraId="7EA3F8FA" w14:textId="45BDD4B7" w:rsidR="00607BF0" w:rsidRPr="00323C0B" w:rsidRDefault="00607BF0" w:rsidP="002F1AA3">
      <w:pPr>
        <w:pStyle w:val="ListParagraph"/>
        <w:numPr>
          <w:ilvl w:val="0"/>
          <w:numId w:val="10"/>
        </w:numPr>
        <w:rPr>
          <w:rFonts w:ascii="Calibri" w:hAnsi="Calibri" w:cs="Calibri"/>
          <w:sz w:val="24"/>
          <w:szCs w:val="24"/>
        </w:rPr>
      </w:pPr>
      <w:r w:rsidRPr="00323C0B">
        <w:rPr>
          <w:rFonts w:ascii="Calibri" w:hAnsi="Calibri" w:cs="Calibri"/>
          <w:sz w:val="24"/>
          <w:szCs w:val="24"/>
        </w:rPr>
        <w:t>How do we handle US Bank POs?</w:t>
      </w:r>
    </w:p>
    <w:p w14:paraId="516AB494" w14:textId="77777777" w:rsidR="007E265B" w:rsidRDefault="00193D9B" w:rsidP="00F50F37">
      <w:pPr>
        <w:pStyle w:val="ListParagraph"/>
        <w:rPr>
          <w:rFonts w:ascii="Calibri" w:hAnsi="Calibri" w:cs="Calibri"/>
          <w:color w:val="0070C0"/>
          <w:sz w:val="24"/>
          <w:szCs w:val="24"/>
        </w:rPr>
      </w:pPr>
      <w:r w:rsidRPr="00323C0B">
        <w:rPr>
          <w:rFonts w:ascii="Calibri" w:hAnsi="Calibri" w:cs="Calibri"/>
          <w:color w:val="0070C0"/>
          <w:sz w:val="24"/>
          <w:szCs w:val="24"/>
        </w:rPr>
        <w:t>Follow the normal process provided by OSC</w:t>
      </w:r>
      <w:r w:rsidR="007E265B">
        <w:rPr>
          <w:rFonts w:ascii="Calibri" w:hAnsi="Calibri" w:cs="Calibri"/>
          <w:color w:val="0070C0"/>
          <w:sz w:val="24"/>
          <w:szCs w:val="24"/>
        </w:rPr>
        <w:t xml:space="preserve">: </w:t>
      </w:r>
    </w:p>
    <w:p w14:paraId="6473B399" w14:textId="154FE616" w:rsidR="00607BF0" w:rsidRPr="00323C0B" w:rsidRDefault="007E265B" w:rsidP="00F50F37">
      <w:pPr>
        <w:pStyle w:val="ListParagraph"/>
        <w:rPr>
          <w:rFonts w:ascii="Calibri" w:hAnsi="Calibri" w:cs="Calibri"/>
          <w:color w:val="0070C0"/>
          <w:sz w:val="24"/>
          <w:szCs w:val="24"/>
        </w:rPr>
      </w:pPr>
      <w:hyperlink r:id="rId16" w:history="1">
        <w:r w:rsidRPr="007E265B">
          <w:rPr>
            <w:rStyle w:val="Hyperlink"/>
            <w:rFonts w:ascii="Calibri" w:hAnsi="Calibri" w:cs="Calibri"/>
            <w:sz w:val="24"/>
            <w:szCs w:val="24"/>
          </w:rPr>
          <w:t>https://www.core-ct.state.ct.us/PUM-TandS/CP-TS-Legend-FIN-PCard.aspx</w:t>
        </w:r>
      </w:hyperlink>
    </w:p>
    <w:p w14:paraId="4B0F43C0" w14:textId="6363EDA8" w:rsidR="00607BF0" w:rsidRPr="00323C0B" w:rsidRDefault="00215A73" w:rsidP="002F1AA3">
      <w:pPr>
        <w:pStyle w:val="ListParagraph"/>
        <w:numPr>
          <w:ilvl w:val="0"/>
          <w:numId w:val="10"/>
        </w:numPr>
        <w:rPr>
          <w:rFonts w:ascii="Calibri" w:hAnsi="Calibri" w:cs="Calibri"/>
          <w:sz w:val="24"/>
          <w:szCs w:val="24"/>
        </w:rPr>
      </w:pPr>
      <w:r w:rsidRPr="00323C0B">
        <w:rPr>
          <w:rFonts w:ascii="Calibri" w:hAnsi="Calibri" w:cs="Calibri"/>
          <w:sz w:val="24"/>
          <w:szCs w:val="24"/>
        </w:rPr>
        <w:t xml:space="preserve">Should we </w:t>
      </w:r>
      <w:proofErr w:type="gramStart"/>
      <w:r w:rsidRPr="00323C0B">
        <w:rPr>
          <w:rFonts w:ascii="Calibri" w:hAnsi="Calibri" w:cs="Calibri"/>
          <w:sz w:val="24"/>
          <w:szCs w:val="24"/>
        </w:rPr>
        <w:t>closed</w:t>
      </w:r>
      <w:proofErr w:type="gramEnd"/>
      <w:r w:rsidRPr="00323C0B">
        <w:rPr>
          <w:rFonts w:ascii="Calibri" w:hAnsi="Calibri" w:cs="Calibri"/>
          <w:sz w:val="24"/>
          <w:szCs w:val="24"/>
        </w:rPr>
        <w:t xml:space="preserve"> all purchase orders for interagency transfer and use </w:t>
      </w:r>
      <w:proofErr w:type="gramStart"/>
      <w:r w:rsidRPr="00323C0B">
        <w:rPr>
          <w:rFonts w:ascii="Calibri" w:hAnsi="Calibri" w:cs="Calibri"/>
          <w:sz w:val="24"/>
          <w:szCs w:val="24"/>
        </w:rPr>
        <w:t>Non-PO</w:t>
      </w:r>
      <w:proofErr w:type="gramEnd"/>
      <w:r w:rsidRPr="00323C0B">
        <w:rPr>
          <w:rFonts w:ascii="Calibri" w:hAnsi="Calibri" w:cs="Calibri"/>
          <w:sz w:val="24"/>
          <w:szCs w:val="24"/>
        </w:rPr>
        <w:t xml:space="preserve"> voucher?</w:t>
      </w:r>
    </w:p>
    <w:p w14:paraId="3D487449" w14:textId="696DF6F4" w:rsidR="00215A73" w:rsidRDefault="008C3F4C" w:rsidP="00215A73">
      <w:pPr>
        <w:pStyle w:val="ListParagraph"/>
        <w:rPr>
          <w:rFonts w:ascii="Calibri" w:hAnsi="Calibri" w:cs="Calibri"/>
          <w:color w:val="0070C0"/>
          <w:sz w:val="24"/>
          <w:szCs w:val="24"/>
        </w:rPr>
      </w:pPr>
      <w:r w:rsidRPr="00323C0B">
        <w:rPr>
          <w:rFonts w:ascii="Calibri" w:hAnsi="Calibri" w:cs="Calibri"/>
          <w:color w:val="0070C0"/>
          <w:sz w:val="24"/>
          <w:szCs w:val="24"/>
        </w:rPr>
        <w:t>Use non-PO voucher for interagency transfers.</w:t>
      </w:r>
    </w:p>
    <w:p w14:paraId="280B14A8" w14:textId="7830E665" w:rsidR="0026741A" w:rsidRPr="006804F3" w:rsidRDefault="0026741A" w:rsidP="0026741A">
      <w:pPr>
        <w:pStyle w:val="ListParagraph"/>
        <w:rPr>
          <w:rFonts w:ascii="Calibri" w:hAnsi="Calibri" w:cs="Calibri"/>
          <w:color w:val="4F81BD" w:themeColor="accent1"/>
          <w:sz w:val="24"/>
          <w:szCs w:val="24"/>
        </w:rPr>
      </w:pPr>
    </w:p>
    <w:p w14:paraId="6B3E149E" w14:textId="5FCC12AF" w:rsidR="002A18C0" w:rsidRDefault="002A18C0" w:rsidP="002F1AA3">
      <w:pPr>
        <w:pStyle w:val="Heading1"/>
        <w:numPr>
          <w:ilvl w:val="0"/>
          <w:numId w:val="7"/>
        </w:numPr>
        <w15:collapsed/>
        <w:rPr>
          <w:rFonts w:ascii="Calibri" w:hAnsi="Calibri" w:cs="Calibri"/>
          <w:color w:val="auto"/>
          <w:sz w:val="32"/>
          <w:szCs w:val="32"/>
        </w:rPr>
      </w:pPr>
      <w:r>
        <w:rPr>
          <w:rFonts w:ascii="Calibri" w:hAnsi="Calibri" w:cs="Calibri"/>
          <w:color w:val="auto"/>
          <w:sz w:val="32"/>
          <w:szCs w:val="32"/>
        </w:rPr>
        <w:t>Dollar Thresholds</w:t>
      </w:r>
      <w:r w:rsidR="000B6386">
        <w:rPr>
          <w:rFonts w:ascii="Calibri" w:hAnsi="Calibri" w:cs="Calibri"/>
          <w:color w:val="auto"/>
          <w:sz w:val="32"/>
          <w:szCs w:val="32"/>
        </w:rPr>
        <w:t xml:space="preserve"> &amp; </w:t>
      </w:r>
      <w:r w:rsidR="00D24C31">
        <w:rPr>
          <w:rFonts w:ascii="Calibri" w:hAnsi="Calibri" w:cs="Calibri"/>
          <w:color w:val="auto"/>
          <w:sz w:val="32"/>
          <w:szCs w:val="32"/>
        </w:rPr>
        <w:t>Timeframes</w:t>
      </w:r>
      <w:r w:rsidR="00B2690C">
        <w:rPr>
          <w:rFonts w:ascii="Calibri" w:hAnsi="Calibri" w:cs="Calibri"/>
          <w:color w:val="auto"/>
          <w:sz w:val="32"/>
          <w:szCs w:val="32"/>
        </w:rPr>
        <w:t xml:space="preserve"> Under GL71</w:t>
      </w:r>
    </w:p>
    <w:p w14:paraId="2AAEE4E5" w14:textId="6F5D0C43" w:rsidR="00AD2AFB" w:rsidRPr="00E97C98" w:rsidRDefault="00AD2AFB" w:rsidP="00AD2AFB">
      <w:pPr>
        <w:pStyle w:val="ListParagraph"/>
        <w:numPr>
          <w:ilvl w:val="1"/>
          <w:numId w:val="7"/>
        </w:numPr>
        <w:spacing w:after="160" w:line="278" w:lineRule="auto"/>
        <w:ind w:left="720"/>
        <w:rPr>
          <w:rFonts w:ascii="Calibri" w:hAnsi="Calibri" w:cs="Calibri"/>
          <w:sz w:val="24"/>
          <w:szCs w:val="24"/>
        </w:rPr>
      </w:pPr>
      <w:r w:rsidRPr="00E97C98">
        <w:rPr>
          <w:rFonts w:ascii="Calibri" w:hAnsi="Calibri" w:cs="Calibri"/>
          <w:sz w:val="24"/>
          <w:szCs w:val="24"/>
        </w:rPr>
        <w:t>Is the threshold under $100K or is it up to and inclusive but not over $100,000?</w:t>
      </w:r>
      <w:r w:rsidRPr="00E97C98">
        <w:rPr>
          <w:rFonts w:ascii="Calibri" w:hAnsi="Calibri" w:cs="Calibri"/>
          <w:sz w:val="24"/>
          <w:szCs w:val="24"/>
        </w:rPr>
        <w:br/>
      </w:r>
      <w:r w:rsidRPr="00E97C98">
        <w:rPr>
          <w:rFonts w:ascii="Calibri" w:hAnsi="Calibri" w:cs="Calibri"/>
          <w:color w:val="0070C0"/>
          <w:sz w:val="24"/>
          <w:szCs w:val="24"/>
        </w:rPr>
        <w:t>The threshold is up to and not over $100K.</w:t>
      </w:r>
    </w:p>
    <w:p w14:paraId="128FDEE4" w14:textId="415A907D" w:rsidR="00AD2AFB" w:rsidRPr="00E97C98" w:rsidRDefault="00AD2AFB" w:rsidP="00AD2AFB">
      <w:pPr>
        <w:pStyle w:val="ListParagraph"/>
        <w:numPr>
          <w:ilvl w:val="1"/>
          <w:numId w:val="7"/>
        </w:numPr>
        <w:spacing w:after="160" w:line="278" w:lineRule="auto"/>
        <w:ind w:left="720"/>
        <w:rPr>
          <w:rFonts w:ascii="Calibri" w:hAnsi="Calibri" w:cs="Calibri"/>
          <w:sz w:val="24"/>
          <w:szCs w:val="24"/>
        </w:rPr>
      </w:pPr>
      <w:r w:rsidRPr="00E97C98">
        <w:rPr>
          <w:rFonts w:ascii="Calibri" w:hAnsi="Calibri" w:cs="Calibri"/>
          <w:sz w:val="24"/>
          <w:szCs w:val="24"/>
        </w:rPr>
        <w:t>Are the dollar amounts 'up to' or 'under' $25k, $50k and $100K?</w:t>
      </w:r>
      <w:r w:rsidRPr="00E97C98">
        <w:rPr>
          <w:rFonts w:ascii="Calibri" w:hAnsi="Calibri" w:cs="Calibri"/>
          <w:sz w:val="24"/>
          <w:szCs w:val="24"/>
        </w:rPr>
        <w:br/>
      </w:r>
      <w:r w:rsidRPr="00E97C98">
        <w:rPr>
          <w:rFonts w:ascii="Calibri" w:hAnsi="Calibri" w:cs="Calibri"/>
          <w:color w:val="0070C0"/>
          <w:sz w:val="24"/>
          <w:szCs w:val="24"/>
        </w:rPr>
        <w:t>The numbers go ‘up to’ $25K, $50K and $100K.</w:t>
      </w:r>
    </w:p>
    <w:p w14:paraId="34667F0F" w14:textId="7A21AB8E" w:rsidR="00AD2AFB" w:rsidRPr="00E97C98" w:rsidRDefault="00AD2AFB" w:rsidP="00AD2AFB">
      <w:pPr>
        <w:pStyle w:val="ListParagraph"/>
        <w:numPr>
          <w:ilvl w:val="1"/>
          <w:numId w:val="7"/>
        </w:numPr>
        <w:spacing w:after="160" w:line="278" w:lineRule="auto"/>
        <w:ind w:left="720"/>
        <w:rPr>
          <w:rFonts w:ascii="Calibri" w:hAnsi="Calibri" w:cs="Calibri"/>
          <w:sz w:val="24"/>
          <w:szCs w:val="24"/>
        </w:rPr>
      </w:pPr>
      <w:r w:rsidRPr="00E97C98">
        <w:rPr>
          <w:rFonts w:ascii="Calibri" w:hAnsi="Calibri" w:cs="Calibri"/>
          <w:sz w:val="24"/>
          <w:szCs w:val="24"/>
        </w:rPr>
        <w:t>Could you please clarify what timeframe is used to define the one-year period under GL71? Is it based on the fiscal year or the purchase order start date?</w:t>
      </w:r>
      <w:r w:rsidRPr="00E97C98">
        <w:rPr>
          <w:rFonts w:ascii="Calibri" w:hAnsi="Calibri" w:cs="Calibri"/>
          <w:sz w:val="24"/>
          <w:szCs w:val="24"/>
        </w:rPr>
        <w:br/>
      </w:r>
      <w:r w:rsidRPr="00E97C98">
        <w:rPr>
          <w:rFonts w:ascii="Calibri" w:hAnsi="Calibri" w:cs="Calibri"/>
          <w:color w:val="0070C0"/>
          <w:sz w:val="24"/>
          <w:szCs w:val="24"/>
        </w:rPr>
        <w:t>The purchase order start date.</w:t>
      </w:r>
    </w:p>
    <w:p w14:paraId="5B253F0F" w14:textId="1EA2EF46" w:rsidR="00AD2AFB" w:rsidRPr="00E97C98" w:rsidRDefault="00AD2AFB" w:rsidP="008C2DAF">
      <w:pPr>
        <w:pStyle w:val="ListParagraph"/>
        <w:numPr>
          <w:ilvl w:val="1"/>
          <w:numId w:val="7"/>
        </w:numPr>
        <w:spacing w:after="160" w:line="278" w:lineRule="auto"/>
        <w:ind w:left="720"/>
        <w:rPr>
          <w:rFonts w:ascii="Calibri" w:hAnsi="Calibri" w:cs="Calibri"/>
          <w:color w:val="0070C0"/>
          <w:sz w:val="24"/>
          <w:szCs w:val="24"/>
        </w:rPr>
      </w:pPr>
      <w:r w:rsidRPr="00E97C98">
        <w:rPr>
          <w:rFonts w:ascii="Calibri" w:hAnsi="Calibri" w:cs="Calibri"/>
          <w:sz w:val="24"/>
          <w:szCs w:val="24"/>
        </w:rPr>
        <w:t>What is considered a "</w:t>
      </w:r>
      <w:proofErr w:type="spellStart"/>
      <w:proofErr w:type="gramStart"/>
      <w:r w:rsidRPr="00E97C98">
        <w:rPr>
          <w:rFonts w:ascii="Calibri" w:hAnsi="Calibri" w:cs="Calibri"/>
          <w:sz w:val="24"/>
          <w:szCs w:val="24"/>
        </w:rPr>
        <w:t>Non Recurring</w:t>
      </w:r>
      <w:proofErr w:type="spellEnd"/>
      <w:proofErr w:type="gramEnd"/>
      <w:r w:rsidRPr="00E97C98">
        <w:rPr>
          <w:rFonts w:ascii="Calibri" w:hAnsi="Calibri" w:cs="Calibri"/>
          <w:sz w:val="24"/>
          <w:szCs w:val="24"/>
        </w:rPr>
        <w:t>" service under GL71A. For example, is a one-year membership (under 25K) renewed annually recurring or non-recurring?</w:t>
      </w:r>
      <w:r w:rsidRPr="00E97C98">
        <w:rPr>
          <w:rFonts w:ascii="Calibri" w:hAnsi="Calibri" w:cs="Calibri"/>
          <w:sz w:val="24"/>
          <w:szCs w:val="24"/>
        </w:rPr>
        <w:br/>
      </w:r>
      <w:r w:rsidR="006A3135">
        <w:rPr>
          <w:rFonts w:ascii="Calibri" w:hAnsi="Calibri" w:cs="Calibri"/>
          <w:color w:val="0070C0"/>
          <w:sz w:val="24"/>
          <w:szCs w:val="24"/>
        </w:rPr>
        <w:t>A</w:t>
      </w:r>
      <w:r w:rsidRPr="002F501A">
        <w:rPr>
          <w:rFonts w:ascii="Calibri" w:hAnsi="Calibri" w:cs="Calibri"/>
          <w:color w:val="0070C0"/>
          <w:sz w:val="24"/>
          <w:szCs w:val="24"/>
        </w:rPr>
        <w:t xml:space="preserve"> single invoice for </w:t>
      </w:r>
      <w:r w:rsidR="006A3135">
        <w:rPr>
          <w:rFonts w:ascii="Calibri" w:hAnsi="Calibri" w:cs="Calibri"/>
          <w:color w:val="0070C0"/>
          <w:sz w:val="24"/>
          <w:szCs w:val="24"/>
        </w:rPr>
        <w:t xml:space="preserve">a </w:t>
      </w:r>
      <w:r w:rsidR="006F4C01">
        <w:rPr>
          <w:rFonts w:ascii="Calibri" w:hAnsi="Calibri" w:cs="Calibri"/>
          <w:color w:val="0070C0"/>
          <w:sz w:val="24"/>
          <w:szCs w:val="24"/>
        </w:rPr>
        <w:t>purchase of</w:t>
      </w:r>
      <w:r w:rsidRPr="002F501A">
        <w:rPr>
          <w:rFonts w:ascii="Calibri" w:hAnsi="Calibri" w:cs="Calibri"/>
          <w:color w:val="0070C0"/>
          <w:sz w:val="24"/>
          <w:szCs w:val="24"/>
        </w:rPr>
        <w:t xml:space="preserve"> </w:t>
      </w:r>
      <w:r w:rsidR="006F4C01">
        <w:rPr>
          <w:rFonts w:ascii="Calibri" w:hAnsi="Calibri" w:cs="Calibri"/>
          <w:color w:val="0070C0"/>
          <w:sz w:val="24"/>
          <w:szCs w:val="24"/>
        </w:rPr>
        <w:t xml:space="preserve">$25K or less </w:t>
      </w:r>
      <w:r w:rsidR="00437FC0">
        <w:rPr>
          <w:rFonts w:ascii="Calibri" w:hAnsi="Calibri" w:cs="Calibri"/>
          <w:color w:val="0070C0"/>
          <w:sz w:val="24"/>
          <w:szCs w:val="24"/>
        </w:rPr>
        <w:t>whe</w:t>
      </w:r>
      <w:r w:rsidR="00626B5F">
        <w:rPr>
          <w:rFonts w:ascii="Calibri" w:hAnsi="Calibri" w:cs="Calibri"/>
          <w:color w:val="0070C0"/>
          <w:sz w:val="24"/>
          <w:szCs w:val="24"/>
        </w:rPr>
        <w:t>n</w:t>
      </w:r>
      <w:r w:rsidR="00437FC0">
        <w:rPr>
          <w:rFonts w:ascii="Calibri" w:hAnsi="Calibri" w:cs="Calibri"/>
          <w:color w:val="0070C0"/>
          <w:sz w:val="24"/>
          <w:szCs w:val="24"/>
        </w:rPr>
        <w:t xml:space="preserve"> performance is complete within 1 year </w:t>
      </w:r>
      <w:r w:rsidRPr="002F501A">
        <w:rPr>
          <w:rFonts w:ascii="Calibri" w:hAnsi="Calibri" w:cs="Calibri"/>
          <w:color w:val="0070C0"/>
          <w:sz w:val="24"/>
          <w:szCs w:val="24"/>
        </w:rPr>
        <w:t>qualifies as nonrecurring under GL71</w:t>
      </w:r>
      <w:r w:rsidR="00F17C22">
        <w:rPr>
          <w:rFonts w:ascii="Calibri" w:hAnsi="Calibri" w:cs="Calibri"/>
          <w:color w:val="0070C0"/>
          <w:sz w:val="24"/>
          <w:szCs w:val="24"/>
        </w:rPr>
        <w:t>a</w:t>
      </w:r>
      <w:r w:rsidR="00556B04">
        <w:rPr>
          <w:rFonts w:ascii="Calibri" w:hAnsi="Calibri" w:cs="Calibri"/>
          <w:color w:val="0070C0"/>
          <w:sz w:val="24"/>
          <w:szCs w:val="24"/>
        </w:rPr>
        <w:t>.</w:t>
      </w:r>
      <w:r w:rsidR="00F17C22">
        <w:rPr>
          <w:rFonts w:ascii="Calibri" w:hAnsi="Calibri" w:cs="Calibri"/>
          <w:color w:val="0070C0"/>
          <w:sz w:val="24"/>
          <w:szCs w:val="24"/>
        </w:rPr>
        <w:t>i</w:t>
      </w:r>
      <w:r w:rsidR="00C967E7">
        <w:rPr>
          <w:rFonts w:ascii="Calibri" w:hAnsi="Calibri" w:cs="Calibri"/>
          <w:color w:val="0070C0"/>
          <w:sz w:val="24"/>
          <w:szCs w:val="24"/>
        </w:rPr>
        <w:t>.</w:t>
      </w:r>
      <w:r w:rsidRPr="002F501A">
        <w:rPr>
          <w:rFonts w:ascii="Calibri" w:hAnsi="Calibri" w:cs="Calibri"/>
          <w:color w:val="0070C0"/>
          <w:sz w:val="24"/>
          <w:szCs w:val="24"/>
        </w:rPr>
        <w:br/>
      </w:r>
    </w:p>
    <w:p w14:paraId="28F0388E" w14:textId="25E20748" w:rsidR="00800647" w:rsidRPr="0056086A" w:rsidRDefault="00800647" w:rsidP="002F1AA3">
      <w:pPr>
        <w:pStyle w:val="Heading1"/>
        <w:numPr>
          <w:ilvl w:val="0"/>
          <w:numId w:val="7"/>
        </w:numPr>
        <w15:collapsed/>
        <w:rPr>
          <w:rFonts w:ascii="Calibri" w:hAnsi="Calibri" w:cs="Calibri"/>
          <w:color w:val="auto"/>
          <w:sz w:val="32"/>
          <w:szCs w:val="32"/>
        </w:rPr>
      </w:pPr>
      <w:r w:rsidRPr="0056086A">
        <w:rPr>
          <w:rFonts w:ascii="Calibri" w:hAnsi="Calibri" w:cs="Calibri"/>
          <w:color w:val="auto"/>
          <w:sz w:val="32"/>
          <w:szCs w:val="32"/>
        </w:rPr>
        <w:t>Educational Memberships, Dues and Fees</w:t>
      </w:r>
    </w:p>
    <w:p w14:paraId="794716F8" w14:textId="1EF757E9" w:rsidR="00F64BD1" w:rsidRPr="0056086A" w:rsidRDefault="00FE2EF1" w:rsidP="00200CF2">
      <w:pPr>
        <w:ind w:left="360"/>
        <w:rPr>
          <w:rFonts w:ascii="Calibri" w:hAnsi="Calibri" w:cs="Calibri"/>
          <w:color w:val="0070C0"/>
          <w:sz w:val="24"/>
          <w:szCs w:val="24"/>
        </w:rPr>
      </w:pPr>
      <w:r w:rsidRPr="0056086A">
        <w:rPr>
          <w:rFonts w:ascii="Calibri" w:hAnsi="Calibri" w:cs="Calibri"/>
          <w:color w:val="0070C0"/>
          <w:sz w:val="24"/>
          <w:szCs w:val="24"/>
        </w:rPr>
        <w:t>Educational Memberships, Dues and Fees</w:t>
      </w:r>
      <w:r w:rsidR="00AB495E" w:rsidRPr="0056086A">
        <w:rPr>
          <w:rFonts w:ascii="Calibri" w:hAnsi="Calibri" w:cs="Calibri"/>
          <w:color w:val="0070C0"/>
          <w:sz w:val="24"/>
          <w:szCs w:val="24"/>
        </w:rPr>
        <w:t xml:space="preserve"> are not authorized under GL71. Agencies must review their statutory authority and consult legal counsel as needed.</w:t>
      </w:r>
      <w:r w:rsidR="005B018F" w:rsidRPr="0056086A">
        <w:rPr>
          <w:rFonts w:ascii="Calibri" w:hAnsi="Calibri" w:cs="Calibri"/>
          <w:color w:val="0070C0"/>
          <w:sz w:val="24"/>
          <w:szCs w:val="24"/>
        </w:rPr>
        <w:t xml:space="preserve"> </w:t>
      </w:r>
      <w:r w:rsidR="00302DAC" w:rsidRPr="0056086A">
        <w:rPr>
          <w:rFonts w:ascii="Calibri" w:hAnsi="Calibri" w:cs="Calibri"/>
          <w:color w:val="0070C0"/>
          <w:sz w:val="24"/>
          <w:szCs w:val="24"/>
        </w:rPr>
        <w:t>This answers all questions noted below</w:t>
      </w:r>
      <w:r w:rsidR="00405F8C" w:rsidRPr="0056086A">
        <w:rPr>
          <w:rFonts w:ascii="Calibri" w:hAnsi="Calibri" w:cs="Calibri"/>
          <w:color w:val="0070C0"/>
          <w:sz w:val="24"/>
          <w:szCs w:val="24"/>
        </w:rPr>
        <w:t>.</w:t>
      </w:r>
    </w:p>
    <w:p w14:paraId="2DACF445" w14:textId="4566EFE3" w:rsidR="00664C21" w:rsidRPr="0056086A" w:rsidRDefault="00225FE8" w:rsidP="002F1AA3">
      <w:pPr>
        <w:pStyle w:val="ListParagraph"/>
        <w:numPr>
          <w:ilvl w:val="0"/>
          <w:numId w:val="8"/>
        </w:numPr>
        <w:rPr>
          <w:rFonts w:ascii="Calibri" w:hAnsi="Calibri" w:cs="Calibri"/>
          <w:sz w:val="24"/>
          <w:szCs w:val="24"/>
        </w:rPr>
      </w:pPr>
      <w:bookmarkStart w:id="0" w:name="_Hlk197543062"/>
      <w:r w:rsidRPr="0056086A">
        <w:rPr>
          <w:rFonts w:ascii="Calibri" w:hAnsi="Calibri" w:cs="Calibri"/>
          <w:sz w:val="24"/>
          <w:szCs w:val="24"/>
        </w:rPr>
        <w:t>What is the process for handling educational memberships, dues, and fees that exceed $100K?</w:t>
      </w:r>
    </w:p>
    <w:p w14:paraId="72BD73F3" w14:textId="3CD879D1" w:rsidR="00E71340" w:rsidRPr="0056086A" w:rsidRDefault="00B07304" w:rsidP="002F1AA3">
      <w:pPr>
        <w:pStyle w:val="ListParagraph"/>
        <w:numPr>
          <w:ilvl w:val="0"/>
          <w:numId w:val="8"/>
        </w:numPr>
        <w:rPr>
          <w:rFonts w:ascii="Calibri" w:hAnsi="Calibri" w:cs="Calibri"/>
          <w:sz w:val="24"/>
          <w:szCs w:val="24"/>
        </w:rPr>
      </w:pPr>
      <w:r w:rsidRPr="0056086A">
        <w:rPr>
          <w:rFonts w:ascii="Calibri" w:hAnsi="Calibri" w:cs="Calibri"/>
          <w:sz w:val="24"/>
          <w:szCs w:val="24"/>
        </w:rPr>
        <w:t>How should reimbursements to educational institutions (e.g., RESCs) for training, professional development, and program evaluation be processed?</w:t>
      </w:r>
    </w:p>
    <w:p w14:paraId="776EDD9F" w14:textId="31D37CA4" w:rsidR="0054310B" w:rsidRPr="0056086A" w:rsidRDefault="00800647" w:rsidP="002F1AA3">
      <w:pPr>
        <w:pStyle w:val="Heading1"/>
        <w:numPr>
          <w:ilvl w:val="0"/>
          <w:numId w:val="7"/>
        </w:numPr>
        <w15:collapsed/>
        <w:rPr>
          <w:rFonts w:ascii="Calibri" w:hAnsi="Calibri" w:cs="Calibri"/>
          <w:color w:val="auto"/>
          <w:sz w:val="32"/>
          <w:szCs w:val="32"/>
        </w:rPr>
      </w:pPr>
      <w:r w:rsidRPr="0056086A">
        <w:rPr>
          <w:rFonts w:ascii="Calibri" w:hAnsi="Calibri" w:cs="Calibri"/>
          <w:color w:val="auto"/>
          <w:sz w:val="32"/>
          <w:szCs w:val="32"/>
        </w:rPr>
        <w:t>Emergency Purchases</w:t>
      </w:r>
    </w:p>
    <w:bookmarkEnd w:id="0"/>
    <w:p w14:paraId="534E65F3" w14:textId="2D87CA8B" w:rsidR="008E121D" w:rsidRPr="0056086A" w:rsidRDefault="5FC86195" w:rsidP="001C1341">
      <w:pPr>
        <w:ind w:left="360"/>
        <w:rPr>
          <w:rFonts w:ascii="Calibri" w:hAnsi="Calibri" w:cs="Calibri"/>
          <w:color w:val="0070C0"/>
          <w:sz w:val="24"/>
          <w:szCs w:val="24"/>
        </w:rPr>
      </w:pPr>
      <w:r w:rsidRPr="4B1BCF9C">
        <w:rPr>
          <w:rFonts w:ascii="Calibri" w:hAnsi="Calibri" w:cs="Calibri"/>
          <w:color w:val="0070C0"/>
          <w:sz w:val="24"/>
          <w:szCs w:val="24"/>
        </w:rPr>
        <w:t xml:space="preserve">Processing an emergency transaction remains the same. A </w:t>
      </w:r>
      <w:r w:rsidR="00914B56" w:rsidRPr="4B1BCF9C">
        <w:rPr>
          <w:rFonts w:ascii="Calibri" w:hAnsi="Calibri" w:cs="Calibri"/>
          <w:color w:val="0070C0"/>
          <w:sz w:val="24"/>
          <w:szCs w:val="24"/>
        </w:rPr>
        <w:t xml:space="preserve">Purchase Order (PO) will be issued retroactively with 'Emergency' noted in the header comment. A justification must be attached. </w:t>
      </w:r>
      <w:r w:rsidR="00D940D6" w:rsidRPr="00D861F6">
        <w:rPr>
          <w:rFonts w:ascii="Calibri" w:hAnsi="Calibri" w:cs="Calibri"/>
          <w:color w:val="4F81BD" w:themeColor="accent1"/>
          <w:sz w:val="24"/>
          <w:szCs w:val="24"/>
        </w:rPr>
        <w:t xml:space="preserve">Purchases </w:t>
      </w:r>
      <w:r w:rsidR="00D940D6">
        <w:rPr>
          <w:rFonts w:ascii="Calibri" w:hAnsi="Calibri" w:cs="Calibri"/>
          <w:color w:val="4F81BD" w:themeColor="accent1"/>
          <w:sz w:val="24"/>
          <w:szCs w:val="24"/>
        </w:rPr>
        <w:t>of $100K or more</w:t>
      </w:r>
      <w:r w:rsidR="00914B56" w:rsidRPr="4B1BCF9C">
        <w:rPr>
          <w:rFonts w:ascii="Calibri" w:hAnsi="Calibri" w:cs="Calibri"/>
          <w:color w:val="0070C0"/>
          <w:sz w:val="24"/>
          <w:szCs w:val="24"/>
        </w:rPr>
        <w:t xml:space="preserve"> require submission to DAS Procurement via a DAS-BID requisition with supporting documentation. Standardization procedures remain per C</w:t>
      </w:r>
      <w:r w:rsidR="00EE3513" w:rsidRPr="4B1BCF9C">
        <w:rPr>
          <w:rFonts w:ascii="Calibri" w:hAnsi="Calibri" w:cs="Calibri"/>
          <w:color w:val="0070C0"/>
          <w:sz w:val="24"/>
          <w:szCs w:val="24"/>
        </w:rPr>
        <w:t xml:space="preserve">onnecticut </w:t>
      </w:r>
      <w:r w:rsidR="00914B56" w:rsidRPr="4B1BCF9C">
        <w:rPr>
          <w:rFonts w:ascii="Calibri" w:hAnsi="Calibri" w:cs="Calibri"/>
          <w:color w:val="0070C0"/>
          <w:sz w:val="24"/>
          <w:szCs w:val="24"/>
        </w:rPr>
        <w:t>G</w:t>
      </w:r>
      <w:r w:rsidR="00EE3513" w:rsidRPr="4B1BCF9C">
        <w:rPr>
          <w:rFonts w:ascii="Calibri" w:hAnsi="Calibri" w:cs="Calibri"/>
          <w:color w:val="0070C0"/>
          <w:sz w:val="24"/>
          <w:szCs w:val="24"/>
        </w:rPr>
        <w:t xml:space="preserve">eneral </w:t>
      </w:r>
      <w:r w:rsidR="00914B56" w:rsidRPr="4B1BCF9C">
        <w:rPr>
          <w:rFonts w:ascii="Calibri" w:hAnsi="Calibri" w:cs="Calibri"/>
          <w:color w:val="0070C0"/>
          <w:sz w:val="24"/>
          <w:szCs w:val="24"/>
        </w:rPr>
        <w:t>S</w:t>
      </w:r>
      <w:r w:rsidR="00EE3513" w:rsidRPr="4B1BCF9C">
        <w:rPr>
          <w:rFonts w:ascii="Calibri" w:hAnsi="Calibri" w:cs="Calibri"/>
          <w:color w:val="0070C0"/>
          <w:sz w:val="24"/>
          <w:szCs w:val="24"/>
        </w:rPr>
        <w:t>tatutes</w:t>
      </w:r>
      <w:r w:rsidR="00914B56" w:rsidRPr="4B1BCF9C">
        <w:rPr>
          <w:rFonts w:ascii="Calibri" w:hAnsi="Calibri" w:cs="Calibri"/>
          <w:color w:val="0070C0"/>
          <w:sz w:val="24"/>
          <w:szCs w:val="24"/>
        </w:rPr>
        <w:t xml:space="preserve"> Chapter 58 and Sec. 4a-52-15 regulations.</w:t>
      </w:r>
      <w:r w:rsidR="008E121D" w:rsidRPr="4B1BCF9C">
        <w:rPr>
          <w:rFonts w:ascii="Calibri" w:hAnsi="Calibri" w:cs="Calibri"/>
          <w:color w:val="0070C0"/>
          <w:sz w:val="24"/>
          <w:szCs w:val="24"/>
        </w:rPr>
        <w:t xml:space="preserve"> </w:t>
      </w:r>
      <w:r w:rsidR="0041371D" w:rsidRPr="4B1BCF9C">
        <w:rPr>
          <w:rFonts w:ascii="Calibri" w:hAnsi="Calibri" w:cs="Calibri"/>
          <w:color w:val="4F81BD" w:themeColor="accent1"/>
          <w:sz w:val="24"/>
          <w:szCs w:val="24"/>
        </w:rPr>
        <w:t>This answers all questions noted below</w:t>
      </w:r>
      <w:r w:rsidR="00785F56" w:rsidRPr="4B1BCF9C">
        <w:rPr>
          <w:rFonts w:ascii="Calibri" w:hAnsi="Calibri" w:cs="Calibri"/>
          <w:color w:val="0070C0"/>
          <w:sz w:val="24"/>
          <w:szCs w:val="24"/>
        </w:rPr>
        <w:t>.</w:t>
      </w:r>
    </w:p>
    <w:p w14:paraId="3235C653" w14:textId="3ADF08F9" w:rsidR="0064075C" w:rsidRPr="0056086A" w:rsidRDefault="00534A56" w:rsidP="002F1AA3">
      <w:pPr>
        <w:pStyle w:val="ListParagraph"/>
        <w:numPr>
          <w:ilvl w:val="0"/>
          <w:numId w:val="9"/>
        </w:numPr>
        <w:rPr>
          <w:rFonts w:ascii="Calibri" w:hAnsi="Calibri" w:cs="Calibri"/>
          <w:sz w:val="24"/>
          <w:szCs w:val="24"/>
        </w:rPr>
      </w:pPr>
      <w:r w:rsidRPr="0056086A">
        <w:rPr>
          <w:rFonts w:ascii="Calibri" w:hAnsi="Calibri" w:cs="Calibri"/>
          <w:sz w:val="24"/>
          <w:szCs w:val="24"/>
        </w:rPr>
        <w:t xml:space="preserve">How will emergency purchases over $100K be handled without GL71e, especially when state contracted vendors are </w:t>
      </w:r>
      <w:r w:rsidR="00691A4D">
        <w:rPr>
          <w:rFonts w:ascii="Calibri" w:hAnsi="Calibri" w:cs="Calibri"/>
          <w:sz w:val="24"/>
          <w:szCs w:val="24"/>
        </w:rPr>
        <w:t>not available</w:t>
      </w:r>
      <w:r w:rsidRPr="0056086A">
        <w:rPr>
          <w:rFonts w:ascii="Calibri" w:hAnsi="Calibri" w:cs="Calibri"/>
          <w:sz w:val="24"/>
          <w:szCs w:val="24"/>
        </w:rPr>
        <w:t>?</w:t>
      </w:r>
    </w:p>
    <w:p w14:paraId="54063A9D" w14:textId="2949EC33" w:rsidR="0064075C" w:rsidRPr="0056086A" w:rsidRDefault="00091CED" w:rsidP="002F1AA3">
      <w:pPr>
        <w:pStyle w:val="ListParagraph"/>
        <w:numPr>
          <w:ilvl w:val="0"/>
          <w:numId w:val="9"/>
        </w:numPr>
        <w:rPr>
          <w:rFonts w:ascii="Calibri" w:hAnsi="Calibri" w:cs="Calibri"/>
          <w:sz w:val="24"/>
          <w:szCs w:val="24"/>
        </w:rPr>
      </w:pPr>
      <w:r w:rsidRPr="0056086A">
        <w:rPr>
          <w:rFonts w:ascii="Calibri" w:hAnsi="Calibri" w:cs="Calibri"/>
          <w:sz w:val="24"/>
          <w:szCs w:val="24"/>
        </w:rPr>
        <w:t>For emergency repairs previously handled under GL71e, can POs still be issued after the fact if immediate action is required?</w:t>
      </w:r>
    </w:p>
    <w:p w14:paraId="0E03786C" w14:textId="23F94283" w:rsidR="0064075C" w:rsidRPr="0056086A" w:rsidRDefault="00276C39" w:rsidP="002F1AA3">
      <w:pPr>
        <w:pStyle w:val="ListParagraph"/>
        <w:numPr>
          <w:ilvl w:val="0"/>
          <w:numId w:val="9"/>
        </w:numPr>
        <w:rPr>
          <w:rFonts w:ascii="Calibri" w:hAnsi="Calibri" w:cs="Calibri"/>
          <w:sz w:val="24"/>
          <w:szCs w:val="24"/>
        </w:rPr>
      </w:pPr>
      <w:r w:rsidRPr="0056086A">
        <w:rPr>
          <w:rFonts w:ascii="Calibri" w:hAnsi="Calibri" w:cs="Calibri"/>
          <w:sz w:val="24"/>
          <w:szCs w:val="24"/>
        </w:rPr>
        <w:t xml:space="preserve">Without GL71e, how can agencies address </w:t>
      </w:r>
      <w:r w:rsidR="001808BD">
        <w:rPr>
          <w:rFonts w:ascii="Calibri" w:hAnsi="Calibri" w:cs="Calibri"/>
          <w:sz w:val="24"/>
          <w:szCs w:val="24"/>
        </w:rPr>
        <w:t>emergency</w:t>
      </w:r>
      <w:r w:rsidR="001808BD" w:rsidRPr="0056086A">
        <w:rPr>
          <w:rFonts w:ascii="Calibri" w:hAnsi="Calibri" w:cs="Calibri"/>
          <w:sz w:val="24"/>
          <w:szCs w:val="24"/>
        </w:rPr>
        <w:t xml:space="preserve"> </w:t>
      </w:r>
      <w:r w:rsidRPr="0056086A">
        <w:rPr>
          <w:rFonts w:ascii="Calibri" w:hAnsi="Calibri" w:cs="Calibri"/>
          <w:sz w:val="24"/>
          <w:szCs w:val="24"/>
        </w:rPr>
        <w:t>repairs exceeding $100K when vendors require POs upfront and there is no time to obtain quotes or bids?</w:t>
      </w:r>
    </w:p>
    <w:p w14:paraId="1122FE36" w14:textId="63DE3DF8" w:rsidR="00800647" w:rsidRDefault="004E12F0" w:rsidP="002F1AA3">
      <w:pPr>
        <w:pStyle w:val="ListParagraph"/>
        <w:numPr>
          <w:ilvl w:val="0"/>
          <w:numId w:val="9"/>
        </w:numPr>
        <w:rPr>
          <w:rFonts w:ascii="Aptos" w:hAnsi="Aptos"/>
          <w:sz w:val="24"/>
          <w:szCs w:val="24"/>
        </w:rPr>
      </w:pPr>
      <w:r w:rsidRPr="0056086A">
        <w:rPr>
          <w:rFonts w:ascii="Calibri" w:hAnsi="Calibri" w:cs="Calibri"/>
          <w:sz w:val="24"/>
          <w:szCs w:val="24"/>
        </w:rPr>
        <w:t>With the removal of GL71e, there is concern about losing the flexibility to act quickly during emergencies, particularly when no contracted vendors are available. How will new purchasing staff understand the emergency process under the new guidelines?</w:t>
      </w:r>
    </w:p>
    <w:p w14:paraId="2691F343" w14:textId="77777777" w:rsidR="00800647" w:rsidRPr="0056086A" w:rsidRDefault="00800647" w:rsidP="002F1AA3">
      <w:pPr>
        <w:pStyle w:val="Heading1"/>
        <w:numPr>
          <w:ilvl w:val="0"/>
          <w:numId w:val="7"/>
        </w:numPr>
        <w15:collapsed/>
        <w:rPr>
          <w:rFonts w:ascii="Calibri" w:hAnsi="Calibri" w:cs="Calibri"/>
          <w:color w:val="auto"/>
          <w:sz w:val="32"/>
          <w:szCs w:val="32"/>
        </w:rPr>
      </w:pPr>
      <w:r w:rsidRPr="0056086A">
        <w:rPr>
          <w:rFonts w:ascii="Calibri" w:hAnsi="Calibri" w:cs="Calibri"/>
          <w:color w:val="auto"/>
          <w:sz w:val="32"/>
          <w:szCs w:val="32"/>
        </w:rPr>
        <w:t>General Questions</w:t>
      </w:r>
    </w:p>
    <w:p w14:paraId="7291EF9C" w14:textId="4290B0F5" w:rsidR="00800647" w:rsidRPr="006804F3" w:rsidRDefault="00761E78" w:rsidP="00935F8C">
      <w:pPr>
        <w:pStyle w:val="ListParagraph"/>
        <w:numPr>
          <w:ilvl w:val="0"/>
          <w:numId w:val="33"/>
        </w:numPr>
        <w:rPr>
          <w:rFonts w:ascii="Calibri" w:hAnsi="Calibri" w:cs="Calibri"/>
          <w:sz w:val="24"/>
          <w:szCs w:val="24"/>
        </w:rPr>
      </w:pPr>
      <w:r w:rsidRPr="006804F3">
        <w:rPr>
          <w:rFonts w:ascii="Calibri" w:hAnsi="Calibri" w:cs="Calibri"/>
          <w:sz w:val="24"/>
          <w:szCs w:val="24"/>
        </w:rPr>
        <w:t>Are the GL requirements for posting or getting quotes the same when utilizing a State Contract, such as the Trade Labor Contract</w:t>
      </w:r>
      <w:r w:rsidR="00800647" w:rsidRPr="006804F3">
        <w:rPr>
          <w:rFonts w:ascii="Calibri" w:hAnsi="Calibri" w:cs="Calibri"/>
          <w:sz w:val="24"/>
          <w:szCs w:val="24"/>
        </w:rPr>
        <w:t>?</w:t>
      </w:r>
    </w:p>
    <w:p w14:paraId="4DFBFF8C" w14:textId="5487E14D" w:rsidR="00B76B19" w:rsidRPr="006804F3" w:rsidRDefault="00800647" w:rsidP="00B76B19">
      <w:pPr>
        <w:pStyle w:val="ListParagraph"/>
        <w:rPr>
          <w:rFonts w:ascii="Calibri" w:hAnsi="Calibri" w:cs="Calibri"/>
          <w:color w:val="4F81BD" w:themeColor="accent1"/>
          <w:sz w:val="24"/>
          <w:szCs w:val="24"/>
        </w:rPr>
      </w:pPr>
      <w:r w:rsidRPr="006804F3">
        <w:rPr>
          <w:rFonts w:ascii="Calibri" w:hAnsi="Calibri" w:cs="Calibri"/>
          <w:color w:val="4F81BD" w:themeColor="accent1"/>
          <w:sz w:val="24"/>
          <w:szCs w:val="24"/>
        </w:rPr>
        <w:t>No, the GL71 dollar limits do not apply to purchases made from statewide DAS contracts</w:t>
      </w:r>
      <w:r w:rsidR="34C13BC0" w:rsidRPr="006804F3">
        <w:rPr>
          <w:rFonts w:ascii="Calibri" w:hAnsi="Calibri" w:cs="Calibri"/>
          <w:color w:val="4F81BD" w:themeColor="accent1"/>
          <w:sz w:val="24"/>
          <w:szCs w:val="24"/>
        </w:rPr>
        <w:t>;</w:t>
      </w:r>
      <w:r w:rsidR="00AE3B43" w:rsidRPr="006804F3">
        <w:rPr>
          <w:rFonts w:ascii="Calibri" w:hAnsi="Calibri" w:cs="Calibri"/>
          <w:color w:val="4F81BD" w:themeColor="accent1"/>
          <w:sz w:val="24"/>
          <w:szCs w:val="24"/>
        </w:rPr>
        <w:t xml:space="preserve"> f</w:t>
      </w:r>
      <w:r w:rsidR="00994ED0" w:rsidRPr="006804F3">
        <w:rPr>
          <w:rFonts w:ascii="Calibri" w:hAnsi="Calibri" w:cs="Calibri"/>
          <w:color w:val="4F81BD" w:themeColor="accent1"/>
          <w:sz w:val="24"/>
          <w:szCs w:val="24"/>
        </w:rPr>
        <w:t>ollow the contract usage instructions</w:t>
      </w:r>
      <w:r w:rsidR="00AE3B43" w:rsidRPr="006804F3">
        <w:rPr>
          <w:rFonts w:ascii="Calibri" w:hAnsi="Calibri" w:cs="Calibri"/>
          <w:color w:val="4F81BD" w:themeColor="accent1"/>
          <w:sz w:val="24"/>
          <w:szCs w:val="24"/>
        </w:rPr>
        <w:t>.</w:t>
      </w:r>
    </w:p>
    <w:p w14:paraId="459C51BD" w14:textId="38785393" w:rsidR="00896697" w:rsidRPr="006804F3" w:rsidRDefault="00896697" w:rsidP="00935F8C">
      <w:pPr>
        <w:pStyle w:val="ListParagraph"/>
        <w:numPr>
          <w:ilvl w:val="0"/>
          <w:numId w:val="33"/>
        </w:numPr>
        <w:rPr>
          <w:rFonts w:ascii="Calibri" w:hAnsi="Calibri" w:cs="Calibri"/>
          <w:sz w:val="24"/>
          <w:szCs w:val="24"/>
        </w:rPr>
      </w:pPr>
      <w:proofErr w:type="gramStart"/>
      <w:r w:rsidRPr="006804F3">
        <w:rPr>
          <w:rFonts w:ascii="Calibri" w:hAnsi="Calibri" w:cs="Calibri"/>
          <w:sz w:val="24"/>
          <w:szCs w:val="24"/>
        </w:rPr>
        <w:t>Is</w:t>
      </w:r>
      <w:proofErr w:type="gramEnd"/>
      <w:r w:rsidR="00304927" w:rsidRPr="006804F3">
        <w:rPr>
          <w:rFonts w:ascii="Calibri" w:hAnsi="Calibri" w:cs="Calibri"/>
          <w:sz w:val="24"/>
          <w:szCs w:val="24"/>
        </w:rPr>
        <w:t xml:space="preserve"> Procurated performance reviews applicable only to DAS contracts, excluding POS/PSAs?</w:t>
      </w:r>
    </w:p>
    <w:p w14:paraId="209746C0" w14:textId="4ED79763" w:rsidR="009218D0" w:rsidRPr="006804F3" w:rsidRDefault="009218D0" w:rsidP="009218D0">
      <w:pPr>
        <w:pStyle w:val="ListParagraph"/>
        <w:rPr>
          <w:rFonts w:ascii="Calibri" w:hAnsi="Calibri" w:cs="Calibri"/>
          <w:color w:val="4F81BD" w:themeColor="accent1"/>
          <w:sz w:val="24"/>
          <w:szCs w:val="24"/>
        </w:rPr>
      </w:pPr>
      <w:r w:rsidRPr="006804F3">
        <w:rPr>
          <w:rFonts w:ascii="Calibri" w:hAnsi="Calibri" w:cs="Calibri"/>
          <w:color w:val="4F81BD" w:themeColor="accent1"/>
          <w:sz w:val="24"/>
          <w:szCs w:val="24"/>
        </w:rPr>
        <w:t>Yes. Currently, only DAS statewide contracts are available for review through Procurated.</w:t>
      </w:r>
    </w:p>
    <w:p w14:paraId="357CA2EF" w14:textId="246CD9AC" w:rsidR="00387FCA" w:rsidRPr="006804F3" w:rsidRDefault="00F053BE" w:rsidP="00935F8C">
      <w:pPr>
        <w:pStyle w:val="ListParagraph"/>
        <w:numPr>
          <w:ilvl w:val="0"/>
          <w:numId w:val="33"/>
        </w:numPr>
        <w:rPr>
          <w:rFonts w:ascii="Calibri" w:hAnsi="Calibri" w:cs="Calibri"/>
          <w:sz w:val="24"/>
          <w:szCs w:val="24"/>
        </w:rPr>
      </w:pPr>
      <w:r w:rsidRPr="006804F3">
        <w:rPr>
          <w:rFonts w:ascii="Calibri" w:hAnsi="Calibri" w:cs="Calibri"/>
          <w:sz w:val="24"/>
          <w:szCs w:val="24"/>
        </w:rPr>
        <w:t>Are procurement staff or individual departments responsible for requesting and setting up the GL71b contracts?</w:t>
      </w:r>
    </w:p>
    <w:p w14:paraId="55CCDDDE" w14:textId="588BACE7" w:rsidR="00F053BE" w:rsidRDefault="00D215D9" w:rsidP="00F053BE">
      <w:pPr>
        <w:pStyle w:val="ListParagraph"/>
        <w:rPr>
          <w:rFonts w:ascii="Calibri" w:hAnsi="Calibri" w:cs="Calibri"/>
          <w:color w:val="4F81BD" w:themeColor="accent1"/>
          <w:sz w:val="24"/>
          <w:szCs w:val="24"/>
        </w:rPr>
      </w:pPr>
      <w:r w:rsidRPr="006804F3">
        <w:rPr>
          <w:rFonts w:ascii="Calibri" w:hAnsi="Calibri" w:cs="Calibri"/>
          <w:color w:val="4F81BD" w:themeColor="accent1"/>
          <w:sz w:val="24"/>
          <w:szCs w:val="24"/>
        </w:rPr>
        <w:t>Responsibility is determined by the agency’s internal processes and staff holding the appropriate Core-CT financial permissions.  Contracts must be set up in both Core-CT and CTsource. In Core-CT, the requisition or purchasing type must match the contract type, and the purchasing authority should always be ‘Contract’. Do not select GL71b as the purchasing authority. The contract should use the ‘General Letter’ (GL) contract type.</w:t>
      </w:r>
    </w:p>
    <w:p w14:paraId="43FF5953" w14:textId="76A5EB90" w:rsidR="001908B9" w:rsidRDefault="00432578" w:rsidP="00626714">
      <w:pPr>
        <w:pStyle w:val="ListParagraph"/>
        <w:numPr>
          <w:ilvl w:val="0"/>
          <w:numId w:val="33"/>
        </w:numPr>
        <w:rPr>
          <w:rFonts w:ascii="Calibri" w:hAnsi="Calibri" w:cs="Calibri"/>
          <w:sz w:val="24"/>
          <w:szCs w:val="24"/>
        </w:rPr>
      </w:pPr>
      <w:r w:rsidRPr="008E78BC">
        <w:rPr>
          <w:rFonts w:ascii="Calibri" w:hAnsi="Calibri" w:cs="Calibri"/>
          <w:sz w:val="24"/>
          <w:szCs w:val="24"/>
        </w:rPr>
        <w:t>Can we attain a list of individuals in our agencies who have access to CTsource to post</w:t>
      </w:r>
      <w:r>
        <w:rPr>
          <w:rFonts w:ascii="Calibri" w:hAnsi="Calibri" w:cs="Calibri"/>
          <w:sz w:val="24"/>
          <w:szCs w:val="24"/>
        </w:rPr>
        <w:t>?</w:t>
      </w:r>
    </w:p>
    <w:p w14:paraId="11A9C084" w14:textId="72BC94E4" w:rsidR="00432578" w:rsidRDefault="00432578" w:rsidP="00432578">
      <w:pPr>
        <w:pStyle w:val="ListParagraph"/>
        <w:rPr>
          <w:rFonts w:ascii="Calibri" w:hAnsi="Calibri" w:cs="Calibri"/>
          <w:sz w:val="24"/>
          <w:szCs w:val="24"/>
        </w:rPr>
      </w:pPr>
      <w:r w:rsidRPr="001908B9">
        <w:rPr>
          <w:rFonts w:ascii="Calibri" w:hAnsi="Calibri" w:cs="Calibri"/>
          <w:color w:val="4F81BD" w:themeColor="accent1"/>
          <w:sz w:val="24"/>
          <w:szCs w:val="24"/>
        </w:rPr>
        <w:t>Yes, to request a list of individuals, send an email to</w:t>
      </w:r>
      <w:r w:rsidRPr="008E78BC">
        <w:rPr>
          <w:rFonts w:ascii="Calibri" w:hAnsi="Calibri" w:cs="Calibri"/>
          <w:sz w:val="24"/>
          <w:szCs w:val="24"/>
        </w:rPr>
        <w:t xml:space="preserve"> </w:t>
      </w:r>
      <w:hyperlink r:id="rId17" w:history="1">
        <w:r w:rsidRPr="008E78BC">
          <w:rPr>
            <w:rStyle w:val="Hyperlink"/>
            <w:rFonts w:ascii="Calibri" w:hAnsi="Calibri" w:cs="Calibri"/>
            <w:sz w:val="24"/>
            <w:szCs w:val="24"/>
          </w:rPr>
          <w:t>das.ctsource@ct.gov</w:t>
        </w:r>
      </w:hyperlink>
    </w:p>
    <w:p w14:paraId="3FA73FB6" w14:textId="726C68DA" w:rsidR="00626714" w:rsidRPr="00626714" w:rsidRDefault="00626714" w:rsidP="00626714">
      <w:pPr>
        <w:pStyle w:val="ListParagraph"/>
        <w:numPr>
          <w:ilvl w:val="0"/>
          <w:numId w:val="33"/>
        </w:numPr>
        <w:rPr>
          <w:rFonts w:ascii="Calibri" w:hAnsi="Calibri" w:cs="Calibri"/>
          <w:sz w:val="24"/>
          <w:szCs w:val="24"/>
        </w:rPr>
      </w:pPr>
      <w:r w:rsidRPr="00626714">
        <w:rPr>
          <w:rFonts w:ascii="Calibri" w:hAnsi="Calibri" w:cs="Calibri"/>
          <w:sz w:val="24"/>
          <w:szCs w:val="24"/>
        </w:rPr>
        <w:t>General Letter 71 permits only staff in the "Fiscal/Administrative" job classification to make</w:t>
      </w:r>
      <w:r w:rsidRPr="00626714">
        <w:rPr>
          <w:rFonts w:ascii="Calibri" w:hAnsi="Calibri" w:cs="Calibri"/>
          <w:color w:val="4F81BD" w:themeColor="accent1"/>
          <w:sz w:val="24"/>
          <w:szCs w:val="24"/>
        </w:rPr>
        <w:t xml:space="preserve"> </w:t>
      </w:r>
      <w:r w:rsidRPr="00626714">
        <w:rPr>
          <w:rFonts w:ascii="Calibri" w:hAnsi="Calibri" w:cs="Calibri"/>
          <w:sz w:val="24"/>
          <w:szCs w:val="24"/>
        </w:rPr>
        <w:t>purchases under GL71. DECD, with its small finance team, often relies on "Accountant" classified staff who are fully trained in CORE-CT and DAS procurement policies to handle these purchases.</w:t>
      </w:r>
    </w:p>
    <w:p w14:paraId="327560A6" w14:textId="0E43F267" w:rsidR="00626714" w:rsidRDefault="00626714" w:rsidP="00626714">
      <w:pPr>
        <w:pStyle w:val="ListParagraph"/>
        <w:rPr>
          <w:rFonts w:ascii="Calibri" w:hAnsi="Calibri" w:cs="Calibri"/>
          <w:color w:val="4F81BD" w:themeColor="accent1"/>
          <w:sz w:val="24"/>
          <w:szCs w:val="24"/>
        </w:rPr>
      </w:pPr>
      <w:r w:rsidRPr="00626714">
        <w:rPr>
          <w:rFonts w:ascii="Calibri" w:hAnsi="Calibri" w:cs="Calibri"/>
          <w:color w:val="4F81BD" w:themeColor="accent1"/>
          <w:sz w:val="24"/>
          <w:szCs w:val="24"/>
        </w:rPr>
        <w:t>Core-CT permissions determine which roles can process requisitions/</w:t>
      </w:r>
      <w:proofErr w:type="spellStart"/>
      <w:r w:rsidRPr="00626714">
        <w:rPr>
          <w:rFonts w:ascii="Calibri" w:hAnsi="Calibri" w:cs="Calibri"/>
          <w:color w:val="4F81BD" w:themeColor="accent1"/>
          <w:sz w:val="24"/>
          <w:szCs w:val="24"/>
        </w:rPr>
        <w:t>POs.</w:t>
      </w:r>
      <w:proofErr w:type="spellEnd"/>
      <w:r w:rsidRPr="00626714">
        <w:rPr>
          <w:rFonts w:ascii="Calibri" w:hAnsi="Calibri" w:cs="Calibri"/>
          <w:color w:val="4F81BD" w:themeColor="accent1"/>
          <w:sz w:val="24"/>
          <w:szCs w:val="24"/>
        </w:rPr>
        <w:t xml:space="preserve"> This section has been removed in the new General Letter.</w:t>
      </w:r>
    </w:p>
    <w:p w14:paraId="4373A510" w14:textId="42FB0E10" w:rsidR="0041507E" w:rsidRPr="00183826" w:rsidRDefault="00856CAC" w:rsidP="00FA2EF4">
      <w:pPr>
        <w:pStyle w:val="ListParagraph"/>
        <w:numPr>
          <w:ilvl w:val="0"/>
          <w:numId w:val="33"/>
        </w:numPr>
        <w:rPr>
          <w:rFonts w:ascii="Calibri" w:hAnsi="Calibri" w:cs="Calibri"/>
          <w:color w:val="4F81BD" w:themeColor="accent1"/>
          <w:sz w:val="24"/>
          <w:szCs w:val="24"/>
        </w:rPr>
      </w:pPr>
      <w:r w:rsidRPr="00FA2EF4">
        <w:rPr>
          <w:rFonts w:ascii="Calibri" w:hAnsi="Calibri" w:cs="Calibri"/>
          <w:sz w:val="24"/>
          <w:szCs w:val="24"/>
        </w:rPr>
        <w:t>A bid completed prior to July 1</w:t>
      </w:r>
      <w:r w:rsidRPr="00FA2EF4">
        <w:rPr>
          <w:rFonts w:ascii="Calibri" w:hAnsi="Calibri" w:cs="Calibri"/>
          <w:sz w:val="24"/>
          <w:szCs w:val="24"/>
          <w:vertAlign w:val="superscript"/>
        </w:rPr>
        <w:t>st</w:t>
      </w:r>
      <w:r w:rsidRPr="00FA2EF4">
        <w:rPr>
          <w:rFonts w:ascii="Calibri" w:hAnsi="Calibri" w:cs="Calibri"/>
          <w:sz w:val="24"/>
          <w:szCs w:val="24"/>
        </w:rPr>
        <w:t xml:space="preserve"> was unable to issue a PO because Core-CT was shut down for fiscal year end close. The bid award totaled $355,000 for three pieces of equipment. Can we proceed with the </w:t>
      </w:r>
      <w:proofErr w:type="gramStart"/>
      <w:r w:rsidRPr="00FA2EF4">
        <w:rPr>
          <w:rFonts w:ascii="Calibri" w:hAnsi="Calibri" w:cs="Calibri"/>
          <w:sz w:val="24"/>
          <w:szCs w:val="24"/>
        </w:rPr>
        <w:t>bid</w:t>
      </w:r>
      <w:proofErr w:type="gramEnd"/>
      <w:r w:rsidRPr="00FA2EF4">
        <w:rPr>
          <w:rFonts w:ascii="Calibri" w:hAnsi="Calibri" w:cs="Calibri"/>
          <w:sz w:val="24"/>
          <w:szCs w:val="24"/>
        </w:rPr>
        <w:t xml:space="preserve"> or do we have to rebid or do we have to have DAS to rebid on our behalf?</w:t>
      </w:r>
    </w:p>
    <w:p w14:paraId="1D14F3DF" w14:textId="77777777" w:rsidR="00183826" w:rsidRPr="00052F93" w:rsidRDefault="00183826" w:rsidP="00D512A5">
      <w:pPr>
        <w:pStyle w:val="ListParagraph"/>
        <w:numPr>
          <w:ilvl w:val="0"/>
          <w:numId w:val="43"/>
        </w:numPr>
        <w:rPr>
          <w:rFonts w:ascii="Calibri" w:hAnsi="Calibri" w:cs="Calibri"/>
          <w:color w:val="4F81BD" w:themeColor="accent1"/>
          <w:sz w:val="24"/>
          <w:szCs w:val="24"/>
        </w:rPr>
      </w:pPr>
      <w:r w:rsidRPr="00052F93">
        <w:rPr>
          <w:rFonts w:ascii="Calibri" w:hAnsi="Calibri" w:cs="Calibri"/>
          <w:color w:val="4F81BD" w:themeColor="accent1"/>
          <w:sz w:val="24"/>
          <w:szCs w:val="24"/>
        </w:rPr>
        <w:t xml:space="preserve">If the transaction had been completed and fully executed before the end of the fiscal year, it would have been acceptable under </w:t>
      </w:r>
      <w:proofErr w:type="gramStart"/>
      <w:r w:rsidRPr="00052F93">
        <w:rPr>
          <w:rFonts w:ascii="Calibri" w:hAnsi="Calibri" w:cs="Calibri"/>
          <w:color w:val="4F81BD" w:themeColor="accent1"/>
          <w:sz w:val="24"/>
          <w:szCs w:val="24"/>
        </w:rPr>
        <w:t>the prior</w:t>
      </w:r>
      <w:proofErr w:type="gramEnd"/>
      <w:r w:rsidRPr="00052F93">
        <w:rPr>
          <w:rFonts w:ascii="Calibri" w:hAnsi="Calibri" w:cs="Calibri"/>
          <w:color w:val="4F81BD" w:themeColor="accent1"/>
          <w:sz w:val="24"/>
          <w:szCs w:val="24"/>
        </w:rPr>
        <w:t xml:space="preserve"> authority. However, that authority has since expired and cannot be applied retroactively. </w:t>
      </w:r>
    </w:p>
    <w:p w14:paraId="47CC9119" w14:textId="0166FED2" w:rsidR="00183826" w:rsidRPr="00183826" w:rsidRDefault="00183826" w:rsidP="00D512A5">
      <w:pPr>
        <w:pStyle w:val="ListParagraph"/>
        <w:numPr>
          <w:ilvl w:val="0"/>
          <w:numId w:val="43"/>
        </w:numPr>
        <w:rPr>
          <w:rFonts w:ascii="Calibri" w:hAnsi="Calibri" w:cs="Calibri"/>
          <w:color w:val="4F81BD" w:themeColor="accent1"/>
          <w:sz w:val="24"/>
          <w:szCs w:val="24"/>
        </w:rPr>
      </w:pPr>
      <w:r w:rsidRPr="00052F93">
        <w:rPr>
          <w:rFonts w:ascii="Calibri" w:hAnsi="Calibri" w:cs="Calibri"/>
          <w:color w:val="4F81BD" w:themeColor="accent1"/>
          <w:sz w:val="24"/>
          <w:szCs w:val="24"/>
        </w:rPr>
        <w:t xml:space="preserve">If the agency cannot identify separate statutory </w:t>
      </w:r>
      <w:proofErr w:type="gramStart"/>
      <w:r w:rsidRPr="00052F93">
        <w:rPr>
          <w:rFonts w:ascii="Calibri" w:hAnsi="Calibri" w:cs="Calibri"/>
          <w:color w:val="4F81BD" w:themeColor="accent1"/>
          <w:sz w:val="24"/>
          <w:szCs w:val="24"/>
        </w:rPr>
        <w:t>authority</w:t>
      </w:r>
      <w:proofErr w:type="gramEnd"/>
      <w:r w:rsidRPr="00052F93">
        <w:rPr>
          <w:rFonts w:ascii="Calibri" w:hAnsi="Calibri" w:cs="Calibri"/>
          <w:color w:val="4F81BD" w:themeColor="accent1"/>
          <w:sz w:val="24"/>
          <w:szCs w:val="24"/>
        </w:rPr>
        <w:t xml:space="preserve"> to proceed with the purchase, then submit a DAS-BID requisition so that DAS may initiate a new competitive bidding process</w:t>
      </w:r>
      <w:r w:rsidRPr="00052F93">
        <w:rPr>
          <w:rFonts w:ascii="Calibri" w:hAnsi="Calibri" w:cs="Calibri"/>
          <w:color w:val="4F81BD" w:themeColor="accent1"/>
          <w:sz w:val="24"/>
          <w:szCs w:val="24"/>
        </w:rPr>
        <w:t>.</w:t>
      </w:r>
    </w:p>
    <w:p w14:paraId="2C93EE0B" w14:textId="07D77117" w:rsidR="00183826" w:rsidRPr="00FD3970" w:rsidRDefault="00FD3970" w:rsidP="00183826">
      <w:pPr>
        <w:pStyle w:val="ListParagraph"/>
        <w:numPr>
          <w:ilvl w:val="0"/>
          <w:numId w:val="33"/>
        </w:numPr>
        <w:rPr>
          <w:rFonts w:ascii="Calibri" w:hAnsi="Calibri" w:cs="Calibri"/>
          <w:color w:val="4F81BD" w:themeColor="accent1"/>
          <w:sz w:val="24"/>
          <w:szCs w:val="24"/>
        </w:rPr>
      </w:pPr>
      <w:r w:rsidRPr="008E78BC">
        <w:rPr>
          <w:rFonts w:ascii="Calibri" w:hAnsi="Calibri" w:cs="Calibri"/>
          <w:sz w:val="24"/>
          <w:szCs w:val="24"/>
        </w:rPr>
        <w:t>Can anyone provide a contact for BITs to ask a purchasing question</w:t>
      </w:r>
      <w:proofErr w:type="gramStart"/>
      <w:r w:rsidRPr="008E78BC">
        <w:rPr>
          <w:rFonts w:ascii="Calibri" w:hAnsi="Calibri" w:cs="Calibri"/>
          <w:sz w:val="24"/>
          <w:szCs w:val="24"/>
        </w:rPr>
        <w:t xml:space="preserve"> our</w:t>
      </w:r>
      <w:proofErr w:type="gramEnd"/>
      <w:r w:rsidRPr="008E78BC">
        <w:rPr>
          <w:rFonts w:ascii="Calibri" w:hAnsi="Calibri" w:cs="Calibri"/>
          <w:sz w:val="24"/>
          <w:szCs w:val="24"/>
        </w:rPr>
        <w:t xml:space="preserve"> CSM is </w:t>
      </w:r>
      <w:proofErr w:type="gramStart"/>
      <w:r w:rsidRPr="008E78BC">
        <w:rPr>
          <w:rFonts w:ascii="Calibri" w:hAnsi="Calibri" w:cs="Calibri"/>
          <w:sz w:val="24"/>
          <w:szCs w:val="24"/>
        </w:rPr>
        <w:t>fairly new</w:t>
      </w:r>
      <w:proofErr w:type="gramEnd"/>
      <w:r w:rsidRPr="008E78BC">
        <w:rPr>
          <w:rFonts w:ascii="Calibri" w:hAnsi="Calibri" w:cs="Calibri"/>
          <w:sz w:val="24"/>
          <w:szCs w:val="24"/>
        </w:rPr>
        <w:t xml:space="preserve"> with regards to GL71B/DAS Bid</w:t>
      </w:r>
      <w:r>
        <w:rPr>
          <w:rFonts w:ascii="Calibri" w:hAnsi="Calibri" w:cs="Calibri"/>
          <w:sz w:val="24"/>
          <w:szCs w:val="24"/>
        </w:rPr>
        <w:t>?</w:t>
      </w:r>
    </w:p>
    <w:p w14:paraId="593CDCA6" w14:textId="12A01C77" w:rsidR="00FD3970" w:rsidRPr="00FD3970" w:rsidRDefault="00834A12" w:rsidP="00834A12">
      <w:pPr>
        <w:pStyle w:val="ListParagraph"/>
        <w:rPr>
          <w:rFonts w:ascii="Calibri" w:hAnsi="Calibri" w:cs="Calibri"/>
          <w:color w:val="4F81BD" w:themeColor="accent1"/>
          <w:sz w:val="24"/>
          <w:szCs w:val="24"/>
        </w:rPr>
      </w:pPr>
      <w:r w:rsidRPr="002B79B7">
        <w:rPr>
          <w:rFonts w:ascii="Calibri" w:hAnsi="Calibri" w:cs="Calibri"/>
          <w:color w:val="4F81BD" w:themeColor="accent1"/>
          <w:sz w:val="24"/>
          <w:szCs w:val="24"/>
        </w:rPr>
        <w:t>The CSM may contact IT Contract Team Leader, Leslie Cote:</w:t>
      </w:r>
      <w:r w:rsidRPr="008E78BC">
        <w:rPr>
          <w:rFonts w:ascii="Calibri" w:hAnsi="Calibri" w:cs="Calibri"/>
          <w:color w:val="0070C0"/>
          <w:sz w:val="24"/>
          <w:szCs w:val="24"/>
        </w:rPr>
        <w:t xml:space="preserve"> </w:t>
      </w:r>
      <w:hyperlink r:id="rId18" w:history="1">
        <w:r w:rsidRPr="008E78BC">
          <w:rPr>
            <w:rStyle w:val="Hyperlink"/>
            <w:rFonts w:ascii="Calibri" w:hAnsi="Calibri" w:cs="Calibri"/>
            <w:sz w:val="24"/>
            <w:szCs w:val="24"/>
          </w:rPr>
          <w:t>leslie.cote@ct.gov</w:t>
        </w:r>
      </w:hyperlink>
      <w:r>
        <w:rPr>
          <w:rFonts w:ascii="Calibri" w:hAnsi="Calibri" w:cs="Calibri"/>
          <w:sz w:val="24"/>
          <w:szCs w:val="24"/>
        </w:rPr>
        <w:t>.</w:t>
      </w:r>
    </w:p>
    <w:p w14:paraId="37A56CDD" w14:textId="059F8A82" w:rsidR="00FD3970" w:rsidRPr="002662FF" w:rsidRDefault="002662FF" w:rsidP="00183826">
      <w:pPr>
        <w:pStyle w:val="ListParagraph"/>
        <w:numPr>
          <w:ilvl w:val="0"/>
          <w:numId w:val="33"/>
        </w:numPr>
        <w:rPr>
          <w:rFonts w:ascii="Calibri" w:hAnsi="Calibri" w:cs="Calibri"/>
          <w:color w:val="4F81BD" w:themeColor="accent1"/>
          <w:sz w:val="24"/>
          <w:szCs w:val="24"/>
        </w:rPr>
      </w:pPr>
      <w:r w:rsidRPr="008E78BC">
        <w:rPr>
          <w:rFonts w:ascii="Calibri" w:hAnsi="Calibri" w:cs="Calibri"/>
          <w:sz w:val="24"/>
          <w:szCs w:val="24"/>
        </w:rPr>
        <w:t>Is a DAS-BID requisition required when the standardization transaction amount falls between $25,001 and $99,999</w:t>
      </w:r>
      <w:r>
        <w:rPr>
          <w:rFonts w:ascii="Calibri" w:hAnsi="Calibri" w:cs="Calibri"/>
          <w:sz w:val="24"/>
          <w:szCs w:val="24"/>
        </w:rPr>
        <w:t>?</w:t>
      </w:r>
    </w:p>
    <w:p w14:paraId="673EEAA3" w14:textId="0F4D1D5F" w:rsidR="002662FF" w:rsidRPr="002662FF" w:rsidRDefault="00E35112" w:rsidP="00ED5DB8">
      <w:pPr>
        <w:pStyle w:val="ListParagraph"/>
        <w:rPr>
          <w:rFonts w:ascii="Calibri" w:hAnsi="Calibri" w:cs="Calibri"/>
          <w:color w:val="4F81BD" w:themeColor="accent1"/>
          <w:sz w:val="24"/>
          <w:szCs w:val="24"/>
        </w:rPr>
      </w:pPr>
      <w:r w:rsidRPr="00E35112">
        <w:rPr>
          <w:rFonts w:ascii="Calibri" w:hAnsi="Calibri" w:cs="Calibri"/>
          <w:color w:val="4F81BD" w:themeColor="accent1"/>
          <w:sz w:val="24"/>
          <w:szCs w:val="24"/>
        </w:rPr>
        <w:t>No</w:t>
      </w:r>
      <w:r w:rsidR="00A406D9">
        <w:rPr>
          <w:rFonts w:ascii="Calibri" w:hAnsi="Calibri" w:cs="Calibri"/>
          <w:color w:val="4F81BD" w:themeColor="accent1"/>
          <w:sz w:val="24"/>
          <w:szCs w:val="24"/>
        </w:rPr>
        <w:t>, f</w:t>
      </w:r>
      <w:r w:rsidR="00A35013">
        <w:rPr>
          <w:rFonts w:ascii="Calibri" w:hAnsi="Calibri" w:cs="Calibri"/>
          <w:color w:val="4F81BD" w:themeColor="accent1"/>
          <w:sz w:val="24"/>
          <w:szCs w:val="24"/>
        </w:rPr>
        <w:t xml:space="preserve">ollow the </w:t>
      </w:r>
      <w:r w:rsidR="00541A16">
        <w:rPr>
          <w:rFonts w:ascii="Calibri" w:hAnsi="Calibri" w:cs="Calibri"/>
          <w:color w:val="4F81BD" w:themeColor="accent1"/>
          <w:sz w:val="24"/>
          <w:szCs w:val="24"/>
        </w:rPr>
        <w:t xml:space="preserve">GL71b </w:t>
      </w:r>
      <w:r w:rsidR="00A35013">
        <w:rPr>
          <w:rFonts w:ascii="Calibri" w:hAnsi="Calibri" w:cs="Calibri"/>
          <w:color w:val="4F81BD" w:themeColor="accent1"/>
          <w:sz w:val="24"/>
          <w:szCs w:val="24"/>
        </w:rPr>
        <w:t>guidance</w:t>
      </w:r>
      <w:r w:rsidR="00A406D9">
        <w:rPr>
          <w:rFonts w:ascii="Calibri" w:hAnsi="Calibri" w:cs="Calibri"/>
          <w:color w:val="4F81BD" w:themeColor="accent1"/>
          <w:sz w:val="24"/>
          <w:szCs w:val="24"/>
        </w:rPr>
        <w:t>. A</w:t>
      </w:r>
      <w:r w:rsidRPr="00E35112">
        <w:rPr>
          <w:rFonts w:ascii="Calibri" w:hAnsi="Calibri" w:cs="Calibri"/>
          <w:color w:val="4F81BD" w:themeColor="accent1"/>
          <w:sz w:val="24"/>
          <w:szCs w:val="24"/>
        </w:rPr>
        <w:t xml:space="preserve">n agency </w:t>
      </w:r>
      <w:r w:rsidR="0046077A">
        <w:rPr>
          <w:rFonts w:ascii="Calibri" w:hAnsi="Calibri" w:cs="Calibri"/>
          <w:color w:val="4F81BD" w:themeColor="accent1"/>
          <w:sz w:val="24"/>
          <w:szCs w:val="24"/>
        </w:rPr>
        <w:t>must</w:t>
      </w:r>
      <w:r w:rsidRPr="00E35112">
        <w:rPr>
          <w:rFonts w:ascii="Calibri" w:hAnsi="Calibri" w:cs="Calibri"/>
          <w:color w:val="4F81BD" w:themeColor="accent1"/>
          <w:sz w:val="24"/>
          <w:szCs w:val="24"/>
        </w:rPr>
        <w:t xml:space="preserve"> document and justify any sole source purchase between $25,001 and $100,000.</w:t>
      </w:r>
      <w:r w:rsidR="00D55B77">
        <w:rPr>
          <w:rFonts w:ascii="Calibri" w:hAnsi="Calibri" w:cs="Calibri"/>
          <w:color w:val="4F81BD" w:themeColor="accent1"/>
          <w:sz w:val="24"/>
          <w:szCs w:val="24"/>
        </w:rPr>
        <w:t xml:space="preserve"> </w:t>
      </w:r>
      <w:r w:rsidRPr="00E35112">
        <w:rPr>
          <w:rFonts w:ascii="Calibri" w:hAnsi="Calibri" w:cs="Calibri"/>
          <w:color w:val="4F81BD" w:themeColor="accent1"/>
          <w:sz w:val="24"/>
          <w:szCs w:val="24"/>
        </w:rPr>
        <w:t xml:space="preserve"> All transactions more than $100,000 require a DAS-BID requisition</w:t>
      </w:r>
      <w:r w:rsidRPr="00E35112">
        <w:rPr>
          <w:rFonts w:ascii="Calibri" w:hAnsi="Calibri" w:cs="Calibri"/>
          <w:color w:val="4F81BD" w:themeColor="accent1"/>
          <w:sz w:val="24"/>
          <w:szCs w:val="24"/>
        </w:rPr>
        <w:t>.</w:t>
      </w:r>
    </w:p>
    <w:p w14:paraId="7244B9C3" w14:textId="77777777" w:rsidR="00050E5B" w:rsidRDefault="00050E5B" w:rsidP="00050E5B">
      <w:pPr>
        <w:pStyle w:val="ListParagraph"/>
        <w:numPr>
          <w:ilvl w:val="0"/>
          <w:numId w:val="33"/>
        </w:numPr>
        <w:rPr>
          <w:rFonts w:ascii="Calibri" w:hAnsi="Calibri" w:cs="Calibri"/>
          <w:sz w:val="24"/>
          <w:szCs w:val="24"/>
        </w:rPr>
      </w:pPr>
      <w:r w:rsidRPr="008E78BC">
        <w:rPr>
          <w:rFonts w:ascii="Calibri" w:hAnsi="Calibri" w:cs="Calibri"/>
          <w:sz w:val="24"/>
          <w:szCs w:val="24"/>
        </w:rPr>
        <w:t>We have specific subscriptions that are applicable to our agency, which is also operating as a school district, these subscriptions are more than $500,000. How would we go about continuing these sole source provider subscriptions, like PowerSchool</w:t>
      </w:r>
      <w:r>
        <w:rPr>
          <w:rFonts w:ascii="Calibri" w:hAnsi="Calibri" w:cs="Calibri"/>
          <w:sz w:val="24"/>
          <w:szCs w:val="24"/>
        </w:rPr>
        <w:t>?</w:t>
      </w:r>
    </w:p>
    <w:p w14:paraId="4D2A7E86" w14:textId="51975AEF" w:rsidR="00050E5B" w:rsidRPr="00050E5B" w:rsidRDefault="00050E5B" w:rsidP="00050E5B">
      <w:pPr>
        <w:pStyle w:val="ListParagraph"/>
        <w:rPr>
          <w:rFonts w:ascii="Calibri" w:hAnsi="Calibri" w:cs="Calibri"/>
          <w:color w:val="4F81BD" w:themeColor="accent1"/>
          <w:sz w:val="24"/>
          <w:szCs w:val="24"/>
        </w:rPr>
      </w:pPr>
      <w:r w:rsidRPr="008E78BC">
        <w:rPr>
          <w:rFonts w:ascii="Calibri" w:hAnsi="Calibri" w:cs="Calibri"/>
          <w:color w:val="0070C0"/>
          <w:sz w:val="24"/>
          <w:szCs w:val="24"/>
        </w:rPr>
        <w:t xml:space="preserve">All purchases with a total value of $100,000 or more require submission of a DAS-BID requisition. </w:t>
      </w:r>
      <w:r>
        <w:rPr>
          <w:rFonts w:ascii="Calibri" w:hAnsi="Calibri" w:cs="Calibri"/>
          <w:color w:val="0070C0"/>
        </w:rPr>
        <w:t>For s</w:t>
      </w:r>
      <w:r w:rsidRPr="008E78BC">
        <w:rPr>
          <w:rFonts w:ascii="Calibri" w:hAnsi="Calibri" w:cs="Calibri"/>
          <w:color w:val="0070C0"/>
          <w:sz w:val="24"/>
          <w:szCs w:val="24"/>
        </w:rPr>
        <w:t>ole source transactions (standardization transactions), agencies must follow the established procedures for requesting a waiver of the competitive bid process. This includes submitting the required documentation and justification in accordance with procurement guidelines. For this specific example, approval from the Standardization Committee will be required before proceeding</w:t>
      </w:r>
    </w:p>
    <w:p w14:paraId="4B81FBD7" w14:textId="7B8234A4" w:rsidR="007800A5" w:rsidRPr="00D512A5" w:rsidRDefault="007800A5" w:rsidP="007800A5">
      <w:pPr>
        <w:pStyle w:val="ListParagraph"/>
        <w:numPr>
          <w:ilvl w:val="0"/>
          <w:numId w:val="33"/>
        </w:numPr>
        <w:rPr>
          <w:rFonts w:ascii="Calibri" w:hAnsi="Calibri" w:cs="Calibri"/>
          <w:color w:val="4F81BD" w:themeColor="accent1"/>
          <w:sz w:val="24"/>
          <w:szCs w:val="24"/>
        </w:rPr>
      </w:pPr>
      <w:r w:rsidRPr="008E78BC">
        <w:rPr>
          <w:rFonts w:ascii="Calibri" w:hAnsi="Calibri" w:cs="Calibri"/>
          <w:sz w:val="24"/>
          <w:szCs w:val="24"/>
        </w:rPr>
        <w:t>How should fees from a town for permits at the Big E be handled</w:t>
      </w:r>
      <w:r>
        <w:rPr>
          <w:rFonts w:ascii="Calibri" w:hAnsi="Calibri" w:cs="Calibri"/>
          <w:sz w:val="24"/>
          <w:szCs w:val="24"/>
        </w:rPr>
        <w:t>?</w:t>
      </w:r>
    </w:p>
    <w:p w14:paraId="4655B58F" w14:textId="77777777" w:rsidR="007800A5" w:rsidRPr="007800A5" w:rsidRDefault="007800A5" w:rsidP="007800A5">
      <w:pPr>
        <w:pStyle w:val="ListParagraph"/>
        <w:rPr>
          <w:rFonts w:ascii="Calibri" w:hAnsi="Calibri" w:cs="Calibri"/>
          <w:color w:val="4F81BD" w:themeColor="accent1"/>
          <w:sz w:val="24"/>
          <w:szCs w:val="24"/>
        </w:rPr>
      </w:pPr>
      <w:r w:rsidRPr="00D512A5">
        <w:rPr>
          <w:rFonts w:ascii="Calibri" w:hAnsi="Calibri" w:cs="Calibri"/>
          <w:color w:val="4F81BD" w:themeColor="accent1"/>
          <w:sz w:val="24"/>
          <w:szCs w:val="24"/>
        </w:rPr>
        <w:t>Non-PO voucher</w:t>
      </w:r>
      <w:r w:rsidRPr="008E78BC">
        <w:rPr>
          <w:rFonts w:ascii="Calibri" w:hAnsi="Calibri" w:cs="Calibri"/>
          <w:sz w:val="24"/>
          <w:szCs w:val="24"/>
        </w:rPr>
        <w:t xml:space="preserve"> </w:t>
      </w:r>
    </w:p>
    <w:p w14:paraId="3CBA7597" w14:textId="5D4EF672" w:rsidR="002662FF" w:rsidRPr="00D512A5" w:rsidRDefault="00083993" w:rsidP="007800A5">
      <w:pPr>
        <w:pStyle w:val="ListParagraph"/>
        <w:numPr>
          <w:ilvl w:val="0"/>
          <w:numId w:val="33"/>
        </w:numPr>
        <w:rPr>
          <w:rFonts w:ascii="Calibri" w:hAnsi="Calibri" w:cs="Calibri"/>
          <w:color w:val="4F81BD" w:themeColor="accent1"/>
          <w:sz w:val="24"/>
          <w:szCs w:val="24"/>
        </w:rPr>
      </w:pPr>
      <w:r w:rsidRPr="008E78BC">
        <w:rPr>
          <w:rFonts w:ascii="Calibri" w:hAnsi="Calibri" w:cs="Calibri"/>
          <w:sz w:val="24"/>
          <w:szCs w:val="24"/>
        </w:rPr>
        <w:t>Can agency specific subscriptions (except for IT-related subscriptions) fall under an agency’s statute</w:t>
      </w:r>
      <w:r w:rsidR="00ED5DB8">
        <w:rPr>
          <w:rFonts w:ascii="Calibri" w:hAnsi="Calibri" w:cs="Calibri"/>
          <w:sz w:val="24"/>
          <w:szCs w:val="24"/>
        </w:rPr>
        <w:t>?</w:t>
      </w:r>
    </w:p>
    <w:p w14:paraId="29BAC51C" w14:textId="77777777" w:rsidR="009A2D87" w:rsidRPr="009A2D87" w:rsidRDefault="009A2D87" w:rsidP="009A2D87">
      <w:pPr>
        <w:pStyle w:val="ListParagraph"/>
        <w:rPr>
          <w:rFonts w:ascii="Calibri" w:hAnsi="Calibri" w:cs="Calibri"/>
          <w:color w:val="4F81BD" w:themeColor="accent1"/>
          <w:sz w:val="24"/>
          <w:szCs w:val="24"/>
        </w:rPr>
      </w:pPr>
      <w:r w:rsidRPr="009A2D87">
        <w:rPr>
          <w:rFonts w:ascii="Calibri" w:hAnsi="Calibri" w:cs="Calibri"/>
          <w:color w:val="4F81BD" w:themeColor="accent1"/>
          <w:sz w:val="24"/>
          <w:szCs w:val="24"/>
        </w:rPr>
        <w:t>Agencies may exercise their own statutory purchasing authority, with the approval of their commissioner, to procure items such as sponsorship agreements or other transactions specifically permitted by statute. When doing so, agencies must:</w:t>
      </w:r>
    </w:p>
    <w:p w14:paraId="7D28876E" w14:textId="77777777" w:rsidR="009A2D87" w:rsidRPr="009A2D87" w:rsidRDefault="009A2D87" w:rsidP="009A2D87">
      <w:pPr>
        <w:pStyle w:val="ListParagraph"/>
        <w:numPr>
          <w:ilvl w:val="0"/>
          <w:numId w:val="44"/>
        </w:numPr>
        <w:spacing w:after="160" w:line="278" w:lineRule="auto"/>
        <w:rPr>
          <w:rFonts w:ascii="Calibri" w:hAnsi="Calibri" w:cs="Calibri"/>
          <w:color w:val="4F81BD" w:themeColor="accent1"/>
          <w:sz w:val="24"/>
          <w:szCs w:val="24"/>
        </w:rPr>
      </w:pPr>
      <w:r w:rsidRPr="009A2D87">
        <w:rPr>
          <w:rFonts w:ascii="Calibri" w:hAnsi="Calibri" w:cs="Calibri"/>
          <w:color w:val="4F81BD" w:themeColor="accent1"/>
          <w:sz w:val="24"/>
          <w:szCs w:val="24"/>
        </w:rPr>
        <w:t>Clearly cite the applicable Connecticut General Statute (CGS) that grants purchasing authority.</w:t>
      </w:r>
    </w:p>
    <w:p w14:paraId="16E07303" w14:textId="77777777" w:rsidR="009A2D87" w:rsidRPr="009A2D87" w:rsidRDefault="009A2D87" w:rsidP="009A2D87">
      <w:pPr>
        <w:pStyle w:val="ListParagraph"/>
        <w:numPr>
          <w:ilvl w:val="0"/>
          <w:numId w:val="44"/>
        </w:numPr>
        <w:spacing w:after="160" w:line="278" w:lineRule="auto"/>
        <w:rPr>
          <w:rFonts w:ascii="Calibri" w:hAnsi="Calibri" w:cs="Calibri"/>
          <w:color w:val="4F81BD" w:themeColor="accent1"/>
          <w:sz w:val="24"/>
          <w:szCs w:val="24"/>
        </w:rPr>
      </w:pPr>
      <w:r w:rsidRPr="009A2D87">
        <w:rPr>
          <w:rFonts w:ascii="Calibri" w:hAnsi="Calibri" w:cs="Calibri"/>
          <w:color w:val="4F81BD" w:themeColor="accent1"/>
          <w:sz w:val="24"/>
          <w:szCs w:val="24"/>
        </w:rPr>
        <w:t>Ensure the transaction complies with the requirements set forth in that statute.</w:t>
      </w:r>
    </w:p>
    <w:p w14:paraId="37515222" w14:textId="4BA5F655" w:rsidR="00D512A5" w:rsidRPr="00FA2EF4" w:rsidRDefault="009A2D87" w:rsidP="009A2D87">
      <w:pPr>
        <w:pStyle w:val="ListParagraph"/>
        <w:rPr>
          <w:rFonts w:ascii="Calibri" w:hAnsi="Calibri" w:cs="Calibri"/>
          <w:color w:val="4F81BD" w:themeColor="accent1"/>
          <w:sz w:val="24"/>
          <w:szCs w:val="24"/>
        </w:rPr>
      </w:pPr>
      <w:r w:rsidRPr="009A2D87">
        <w:rPr>
          <w:rFonts w:ascii="Calibri" w:hAnsi="Calibri" w:cs="Calibri"/>
          <w:color w:val="4F81BD" w:themeColor="accent1"/>
          <w:sz w:val="24"/>
          <w:szCs w:val="24"/>
        </w:rPr>
        <w:t>However, it is important to note the Connecticut legislature has explicitly stated that all technology-related transactions require review and approval by the Chief Information Officer (CIO). This requirement applies regardless of an agency’s independent statutory authority</w:t>
      </w:r>
      <w:r w:rsidRPr="009A2D87">
        <w:rPr>
          <w:rFonts w:ascii="Calibri" w:hAnsi="Calibri" w:cs="Calibri"/>
          <w:color w:val="4F81BD" w:themeColor="accent1"/>
          <w:sz w:val="24"/>
          <w:szCs w:val="24"/>
        </w:rPr>
        <w:t>.</w:t>
      </w:r>
    </w:p>
    <w:p w14:paraId="29057362" w14:textId="169CA396" w:rsidR="0062745E" w:rsidRDefault="0062745E" w:rsidP="002F1AA3">
      <w:pPr>
        <w:pStyle w:val="Heading1"/>
        <w:numPr>
          <w:ilvl w:val="0"/>
          <w:numId w:val="7"/>
        </w:numPr>
        <w15:collapsed/>
        <w:rPr>
          <w:rFonts w:ascii="Calibri" w:hAnsi="Calibri" w:cs="Calibri"/>
          <w:color w:val="auto"/>
          <w:sz w:val="32"/>
          <w:szCs w:val="32"/>
        </w:rPr>
      </w:pPr>
      <w:r>
        <w:rPr>
          <w:rFonts w:ascii="Calibri" w:hAnsi="Calibri" w:cs="Calibri"/>
          <w:color w:val="auto"/>
          <w:sz w:val="32"/>
          <w:szCs w:val="32"/>
        </w:rPr>
        <w:t>GL71a</w:t>
      </w:r>
      <w:r w:rsidR="001C2162">
        <w:rPr>
          <w:rFonts w:ascii="Calibri" w:hAnsi="Calibri" w:cs="Calibri"/>
          <w:color w:val="auto"/>
          <w:sz w:val="32"/>
          <w:szCs w:val="32"/>
        </w:rPr>
        <w:t>/GL71b Application Scenarios</w:t>
      </w:r>
    </w:p>
    <w:p w14:paraId="00489760" w14:textId="77777777" w:rsidR="00F9092A" w:rsidRPr="002958A8" w:rsidRDefault="00F9092A" w:rsidP="002958A8">
      <w:pPr>
        <w:pStyle w:val="ListParagraph"/>
        <w:numPr>
          <w:ilvl w:val="0"/>
          <w:numId w:val="30"/>
        </w:numPr>
        <w:rPr>
          <w:rFonts w:ascii="Calibri" w:hAnsi="Calibri" w:cs="Calibri"/>
          <w:color w:val="4F81BD" w:themeColor="accent1"/>
          <w:sz w:val="24"/>
          <w:szCs w:val="24"/>
        </w:rPr>
      </w:pPr>
      <w:r w:rsidRPr="002958A8">
        <w:rPr>
          <w:rFonts w:ascii="Calibri" w:hAnsi="Calibri" w:cs="Calibri"/>
          <w:sz w:val="24"/>
          <w:szCs w:val="24"/>
        </w:rPr>
        <w:t>What is the procedure for renting conference or hotel facilities for large professional development events (e.g., Convention Center) now?</w:t>
      </w:r>
      <w:r w:rsidRPr="002958A8">
        <w:rPr>
          <w:rFonts w:ascii="Calibri" w:hAnsi="Calibri" w:cs="Calibri"/>
          <w:sz w:val="24"/>
          <w:szCs w:val="24"/>
        </w:rPr>
        <w:br/>
      </w:r>
      <w:r w:rsidRPr="002958A8">
        <w:rPr>
          <w:rFonts w:ascii="Calibri" w:hAnsi="Calibri" w:cs="Calibri"/>
          <w:color w:val="4F81BD" w:themeColor="accent1"/>
          <w:sz w:val="24"/>
          <w:szCs w:val="24"/>
        </w:rPr>
        <w:t>Use GL71a or GL71b as appropriate. Purchases over $100K must be submitted to Procurement via a DAS-BID requisition with supporting documentation.</w:t>
      </w:r>
    </w:p>
    <w:p w14:paraId="7BE3E762" w14:textId="033C8880" w:rsidR="00F9092A" w:rsidRPr="003003B5" w:rsidRDefault="00F9092A" w:rsidP="008B2366">
      <w:pPr>
        <w:pStyle w:val="ListParagraph"/>
        <w:numPr>
          <w:ilvl w:val="0"/>
          <w:numId w:val="30"/>
        </w:numPr>
        <w:rPr>
          <w:rFonts w:ascii="Calibri" w:hAnsi="Calibri" w:cs="Calibri"/>
          <w:color w:val="4F81BD" w:themeColor="accent1"/>
          <w:sz w:val="24"/>
          <w:szCs w:val="24"/>
        </w:rPr>
      </w:pPr>
      <w:r w:rsidRPr="002958A8">
        <w:rPr>
          <w:rFonts w:ascii="Calibri" w:hAnsi="Calibri" w:cs="Calibri"/>
          <w:sz w:val="24"/>
          <w:szCs w:val="24"/>
        </w:rPr>
        <w:t>How will purchases of individualized medical goods (e.g., prosthetics, eyeglasses, hearing aids) be managed now that GL71D is no longer available?</w:t>
      </w:r>
      <w:r w:rsidRPr="002958A8">
        <w:rPr>
          <w:rFonts w:ascii="Calibri" w:hAnsi="Calibri" w:cs="Calibri"/>
          <w:sz w:val="24"/>
          <w:szCs w:val="24"/>
        </w:rPr>
        <w:br/>
      </w:r>
      <w:r w:rsidRPr="003003B5">
        <w:rPr>
          <w:rFonts w:ascii="Calibri" w:hAnsi="Calibri" w:cs="Calibri"/>
          <w:color w:val="4F81BD" w:themeColor="accent1"/>
          <w:sz w:val="24"/>
          <w:szCs w:val="24"/>
        </w:rPr>
        <w:t>Use GL71a or GL71b based on the dollar value of the purchase. If the dollar value exceeds the threshold for GL71a, or if it is a recurring purchase, GL71b must be utilized. Whenever possible and practical, quotes or bids should be obtained to ensure competitive pricing. For purchases over $100K, submit a DAS-BID requisition to Procurement along with all supporting documentation.</w:t>
      </w:r>
    </w:p>
    <w:p w14:paraId="71308C91" w14:textId="601E1022" w:rsidR="00F9092A" w:rsidRPr="003003B5" w:rsidRDefault="00F9092A" w:rsidP="00D9153E">
      <w:pPr>
        <w:pStyle w:val="ListParagraph"/>
        <w:numPr>
          <w:ilvl w:val="0"/>
          <w:numId w:val="30"/>
        </w:numPr>
        <w:rPr>
          <w:rFonts w:ascii="Calibri" w:hAnsi="Calibri" w:cs="Calibri"/>
          <w:color w:val="4F81BD" w:themeColor="accent1"/>
          <w:sz w:val="24"/>
          <w:szCs w:val="24"/>
        </w:rPr>
      </w:pPr>
      <w:r w:rsidRPr="00864A6D">
        <w:rPr>
          <w:rFonts w:ascii="Calibri" w:hAnsi="Calibri" w:cs="Calibri"/>
          <w:sz w:val="24"/>
          <w:szCs w:val="24"/>
        </w:rPr>
        <w:t>If we are closing out parking POs and opening new POs for next year. What are new</w:t>
      </w:r>
      <w:r w:rsidRPr="003003B5">
        <w:rPr>
          <w:rFonts w:ascii="Calibri" w:hAnsi="Calibri" w:cs="Calibri"/>
          <w:sz w:val="24"/>
          <w:szCs w:val="24"/>
        </w:rPr>
        <w:t xml:space="preserve"> parking POs coded as? For example, parking passes at our Bridgeport office.</w:t>
      </w:r>
      <w:r w:rsidRPr="00757C14">
        <w:br/>
      </w:r>
      <w:r w:rsidRPr="003003B5">
        <w:rPr>
          <w:rFonts w:ascii="Calibri" w:hAnsi="Calibri" w:cs="Calibri"/>
          <w:color w:val="4F81BD" w:themeColor="accent1"/>
          <w:sz w:val="24"/>
          <w:szCs w:val="24"/>
        </w:rPr>
        <w:t>Use GL71a or GL71b depending upon the dollar value as applicable. If the building is under a lease agreement, process payments under the rent/lease agreement by creating a Procurement Contract with the contract type '</w:t>
      </w:r>
      <w:proofErr w:type="spellStart"/>
      <w:r w:rsidRPr="003003B5">
        <w:rPr>
          <w:rFonts w:ascii="Calibri" w:hAnsi="Calibri" w:cs="Calibri"/>
          <w:color w:val="4F81BD" w:themeColor="accent1"/>
          <w:sz w:val="24"/>
          <w:szCs w:val="24"/>
        </w:rPr>
        <w:t>Rntl</w:t>
      </w:r>
      <w:proofErr w:type="spellEnd"/>
      <w:r w:rsidRPr="003003B5">
        <w:rPr>
          <w:rFonts w:ascii="Calibri" w:hAnsi="Calibri" w:cs="Calibri"/>
          <w:color w:val="4F81BD" w:themeColor="accent1"/>
          <w:sz w:val="24"/>
          <w:szCs w:val="24"/>
        </w:rPr>
        <w:t xml:space="preserve"> Lease - Rental Lease'. Reimbursements are not authorized under GL71.</w:t>
      </w:r>
    </w:p>
    <w:p w14:paraId="6E8D898A" w14:textId="16FBBBF3" w:rsidR="00F9092A" w:rsidRPr="0066566A" w:rsidRDefault="00F9092A" w:rsidP="00D9153E">
      <w:pPr>
        <w:pStyle w:val="ListParagraph"/>
        <w:numPr>
          <w:ilvl w:val="0"/>
          <w:numId w:val="30"/>
        </w:numPr>
      </w:pPr>
      <w:r w:rsidRPr="003003B5">
        <w:rPr>
          <w:rFonts w:ascii="Calibri" w:hAnsi="Calibri" w:cs="Calibri"/>
          <w:sz w:val="24"/>
          <w:szCs w:val="24"/>
        </w:rPr>
        <w:t>For a small IT online subscription, such as Canva that is not available through a reseller, am I safe under 71A, without having to bid for it, since it is a specific product?</w:t>
      </w:r>
      <w:r w:rsidRPr="00757C14">
        <w:br/>
      </w:r>
      <w:r w:rsidRPr="003003B5">
        <w:rPr>
          <w:rFonts w:ascii="Calibri" w:hAnsi="Calibri" w:cs="Calibri"/>
          <w:color w:val="4F81BD" w:themeColor="accent1"/>
          <w:sz w:val="24"/>
          <w:szCs w:val="24"/>
        </w:rPr>
        <w:t>Yes, however you must discuss the transaction with your CSM/IT Manager to ensure the application terms are reviewed and determine if a contract is required per 4d statutes.</w:t>
      </w:r>
    </w:p>
    <w:p w14:paraId="501017FC" w14:textId="065E2EA6" w:rsidR="0066566A" w:rsidRPr="00757C14" w:rsidRDefault="0066566A" w:rsidP="00D9153E">
      <w:pPr>
        <w:pStyle w:val="ListParagraph"/>
        <w:numPr>
          <w:ilvl w:val="0"/>
          <w:numId w:val="30"/>
        </w:numPr>
      </w:pPr>
      <w:r w:rsidRPr="0066566A">
        <w:rPr>
          <w:rFonts w:ascii="Calibri" w:hAnsi="Calibri" w:cs="Calibri"/>
          <w:sz w:val="24"/>
          <w:szCs w:val="24"/>
        </w:rPr>
        <w:t xml:space="preserve">For rating services companies like </w:t>
      </w:r>
      <w:proofErr w:type="gramStart"/>
      <w:r w:rsidRPr="0066566A">
        <w:rPr>
          <w:rFonts w:ascii="Calibri" w:hAnsi="Calibri" w:cs="Calibri"/>
          <w:sz w:val="24"/>
          <w:szCs w:val="24"/>
        </w:rPr>
        <w:t>Bloomberg,</w:t>
      </w:r>
      <w:proofErr w:type="gramEnd"/>
      <w:r w:rsidRPr="0066566A">
        <w:rPr>
          <w:rFonts w:ascii="Calibri" w:hAnsi="Calibri" w:cs="Calibri"/>
          <w:sz w:val="24"/>
          <w:szCs w:val="24"/>
        </w:rPr>
        <w:t xml:space="preserve"> </w:t>
      </w:r>
      <w:proofErr w:type="gramStart"/>
      <w:r w:rsidRPr="0066566A">
        <w:rPr>
          <w:rFonts w:ascii="Calibri" w:hAnsi="Calibri" w:cs="Calibri"/>
          <w:sz w:val="24"/>
          <w:szCs w:val="24"/>
        </w:rPr>
        <w:t>Moody's</w:t>
      </w:r>
      <w:proofErr w:type="gramEnd"/>
      <w:r w:rsidRPr="0066566A">
        <w:rPr>
          <w:rFonts w:ascii="Calibri" w:hAnsi="Calibri" w:cs="Calibri"/>
          <w:sz w:val="24"/>
          <w:szCs w:val="24"/>
        </w:rPr>
        <w:t xml:space="preserve"> which are sole source vendors costing yearly over $100,000 would it be GL71B and are written quotes still required. Even if it is the only vendor to provide this service.</w:t>
      </w:r>
      <w:r w:rsidRPr="0066566A">
        <w:rPr>
          <w:rFonts w:ascii="Calibri" w:hAnsi="Calibri" w:cs="Calibri"/>
          <w:color w:val="4F81BD" w:themeColor="accent1"/>
          <w:sz w:val="24"/>
          <w:szCs w:val="24"/>
        </w:rPr>
        <w:br/>
        <w:t>For purchases over $100K, a DAS-BID requisition is required.</w:t>
      </w:r>
    </w:p>
    <w:p w14:paraId="75505FF0" w14:textId="65CD3193" w:rsidR="00F9092A" w:rsidRDefault="00F9092A" w:rsidP="00D9153E">
      <w:pPr>
        <w:pStyle w:val="ListParagraph"/>
        <w:numPr>
          <w:ilvl w:val="0"/>
          <w:numId w:val="30"/>
        </w:numPr>
        <w:rPr>
          <w:rFonts w:ascii="Calibri" w:hAnsi="Calibri" w:cs="Calibri"/>
          <w:color w:val="4F81BD" w:themeColor="accent1"/>
          <w:sz w:val="24"/>
          <w:szCs w:val="24"/>
        </w:rPr>
      </w:pPr>
      <w:r w:rsidRPr="003003B5">
        <w:rPr>
          <w:rFonts w:ascii="Calibri" w:hAnsi="Calibri" w:cs="Calibri"/>
          <w:sz w:val="24"/>
          <w:szCs w:val="24"/>
        </w:rPr>
        <w:t>Does natural gas apply to lab POs, considering the lab uses natural gases as supplies to complete tests rather than utilities?</w:t>
      </w:r>
      <w:r w:rsidRPr="003003B5">
        <w:rPr>
          <w:rFonts w:ascii="Calibri" w:hAnsi="Calibri" w:cs="Calibri"/>
          <w:sz w:val="24"/>
          <w:szCs w:val="24"/>
        </w:rPr>
        <w:br/>
      </w:r>
      <w:r w:rsidRPr="003003B5">
        <w:rPr>
          <w:rFonts w:ascii="Calibri" w:hAnsi="Calibri" w:cs="Calibri"/>
          <w:color w:val="4F81BD" w:themeColor="accent1"/>
          <w:sz w:val="24"/>
          <w:szCs w:val="24"/>
        </w:rPr>
        <w:t>If the purchase is not under DAS contract, use GL71. Verify whether the purchase should be processed under DAS contract 21PSX0136AA.</w:t>
      </w:r>
    </w:p>
    <w:p w14:paraId="61820A07" w14:textId="59B1C53F" w:rsidR="009722DB" w:rsidRPr="003003B5" w:rsidRDefault="00112D84" w:rsidP="00D9153E">
      <w:pPr>
        <w:pStyle w:val="ListParagraph"/>
        <w:numPr>
          <w:ilvl w:val="0"/>
          <w:numId w:val="30"/>
        </w:numPr>
        <w:rPr>
          <w:rFonts w:ascii="Calibri" w:hAnsi="Calibri" w:cs="Calibri"/>
          <w:color w:val="4F81BD" w:themeColor="accent1"/>
          <w:sz w:val="24"/>
          <w:szCs w:val="24"/>
        </w:rPr>
      </w:pPr>
      <w:r w:rsidRPr="00112D84">
        <w:rPr>
          <w:rFonts w:ascii="Calibri" w:hAnsi="Calibri" w:cs="Calibri"/>
          <w:sz w:val="24"/>
          <w:szCs w:val="24"/>
        </w:rPr>
        <w:t>How will payment of expert witness services retained by the Attorney General’s Office on behalf of DOC litigation matter be managed now that GL71D is no longer available? Many surpass the $100K threshold.</w:t>
      </w:r>
      <w:r w:rsidRPr="00112D84">
        <w:rPr>
          <w:rFonts w:ascii="Calibri" w:hAnsi="Calibri" w:cs="Calibri"/>
          <w:color w:val="4F81BD" w:themeColor="accent1"/>
          <w:sz w:val="24"/>
          <w:szCs w:val="24"/>
        </w:rPr>
        <w:br/>
        <w:t>Expert witness transactions are not authorized under GL71. For more guidance consult the Office of the Attorney General.</w:t>
      </w:r>
    </w:p>
    <w:p w14:paraId="277D7BAA" w14:textId="27B82AEE" w:rsidR="00F9092A" w:rsidRPr="007C6C58" w:rsidRDefault="00F9092A" w:rsidP="00D9153E">
      <w:pPr>
        <w:pStyle w:val="ListParagraph"/>
        <w:numPr>
          <w:ilvl w:val="0"/>
          <w:numId w:val="30"/>
        </w:numPr>
      </w:pPr>
      <w:r w:rsidRPr="003003B5">
        <w:rPr>
          <w:rFonts w:ascii="Calibri" w:hAnsi="Calibri" w:cs="Calibri"/>
          <w:sz w:val="24"/>
          <w:szCs w:val="24"/>
        </w:rPr>
        <w:t xml:space="preserve">DOC currently purchases inmate eyeglasses from </w:t>
      </w:r>
      <w:proofErr w:type="spellStart"/>
      <w:r w:rsidRPr="003003B5">
        <w:rPr>
          <w:rFonts w:ascii="Calibri" w:hAnsi="Calibri" w:cs="Calibri"/>
          <w:sz w:val="24"/>
          <w:szCs w:val="24"/>
        </w:rPr>
        <w:t>MassCor</w:t>
      </w:r>
      <w:proofErr w:type="spellEnd"/>
      <w:r w:rsidRPr="003003B5">
        <w:rPr>
          <w:rFonts w:ascii="Calibri" w:hAnsi="Calibri" w:cs="Calibri"/>
          <w:sz w:val="24"/>
          <w:szCs w:val="24"/>
        </w:rPr>
        <w:t xml:space="preserve"> – Massachusetts Correctional Enterprises. We coded the Running PO for these under GL-71D in previous fiscal years. With the GL changes, what should we use going forward as the purchasing authority? Looking at previous PO’s we usually stay under $100K in a fiscal year, however we do exceed the $50K amount.</w:t>
      </w:r>
      <w:r w:rsidRPr="003003B5">
        <w:rPr>
          <w:rFonts w:ascii="Calibri" w:hAnsi="Calibri" w:cs="Calibri"/>
          <w:sz w:val="24"/>
          <w:szCs w:val="24"/>
        </w:rPr>
        <w:br/>
      </w:r>
      <w:r w:rsidRPr="00485771">
        <w:rPr>
          <w:rFonts w:ascii="Calibri" w:hAnsi="Calibri" w:cs="Calibri"/>
          <w:color w:val="4F81BD" w:themeColor="accent1"/>
          <w:sz w:val="24"/>
          <w:szCs w:val="24"/>
        </w:rPr>
        <w:t xml:space="preserve">• </w:t>
      </w:r>
      <w:r w:rsidRPr="003003B5">
        <w:rPr>
          <w:rFonts w:ascii="Calibri" w:hAnsi="Calibri" w:cs="Calibri"/>
          <w:color w:val="4F81BD" w:themeColor="accent1"/>
          <w:sz w:val="24"/>
          <w:szCs w:val="24"/>
        </w:rPr>
        <w:t>Submit a DAS-BID with contract details.</w:t>
      </w:r>
      <w:r w:rsidRPr="003003B5">
        <w:rPr>
          <w:rFonts w:ascii="Calibri" w:hAnsi="Calibri" w:cs="Calibri"/>
          <w:color w:val="4F81BD" w:themeColor="accent1"/>
          <w:sz w:val="24"/>
          <w:szCs w:val="24"/>
        </w:rPr>
        <w:br/>
        <w:t xml:space="preserve">• DAS will execute a piggyback contract with </w:t>
      </w:r>
      <w:proofErr w:type="spellStart"/>
      <w:r w:rsidRPr="003003B5">
        <w:rPr>
          <w:rFonts w:ascii="Calibri" w:hAnsi="Calibri" w:cs="Calibri"/>
          <w:color w:val="4F81BD" w:themeColor="accent1"/>
          <w:sz w:val="24"/>
          <w:szCs w:val="24"/>
        </w:rPr>
        <w:t>MassCor</w:t>
      </w:r>
      <w:proofErr w:type="spellEnd"/>
      <w:r w:rsidRPr="003003B5">
        <w:rPr>
          <w:rFonts w:ascii="Calibri" w:hAnsi="Calibri" w:cs="Calibri"/>
          <w:color w:val="4F81BD" w:themeColor="accent1"/>
          <w:sz w:val="24"/>
          <w:szCs w:val="24"/>
        </w:rPr>
        <w:t xml:space="preserve"> for ongoing purchases.</w:t>
      </w:r>
    </w:p>
    <w:p w14:paraId="31971055" w14:textId="626BB052" w:rsidR="007C6C58" w:rsidRPr="00485771" w:rsidRDefault="00793FC3" w:rsidP="00D9153E">
      <w:pPr>
        <w:pStyle w:val="ListParagraph"/>
        <w:numPr>
          <w:ilvl w:val="0"/>
          <w:numId w:val="30"/>
        </w:numPr>
        <w:rPr>
          <w:rFonts w:ascii="Calibri" w:hAnsi="Calibri" w:cs="Calibri"/>
          <w:color w:val="4F81BD" w:themeColor="accent1"/>
          <w:sz w:val="24"/>
          <w:szCs w:val="24"/>
        </w:rPr>
      </w:pPr>
      <w:r w:rsidRPr="00793FC3">
        <w:rPr>
          <w:rFonts w:ascii="Calibri" w:hAnsi="Calibri" w:cs="Calibri"/>
          <w:sz w:val="24"/>
          <w:szCs w:val="24"/>
        </w:rPr>
        <w:t xml:space="preserve">I have Allied Security and janitorial we have contracts on for multiple years. I was told I </w:t>
      </w:r>
      <w:proofErr w:type="gramStart"/>
      <w:r w:rsidRPr="00793FC3">
        <w:rPr>
          <w:rFonts w:ascii="Calibri" w:hAnsi="Calibri" w:cs="Calibri"/>
          <w:sz w:val="24"/>
          <w:szCs w:val="24"/>
        </w:rPr>
        <w:t>have to</w:t>
      </w:r>
      <w:proofErr w:type="gramEnd"/>
      <w:r w:rsidRPr="00793FC3">
        <w:rPr>
          <w:rFonts w:ascii="Calibri" w:hAnsi="Calibri" w:cs="Calibri"/>
          <w:sz w:val="24"/>
          <w:szCs w:val="24"/>
        </w:rPr>
        <w:t xml:space="preserve"> roll those over every year the length of the contract. Am I understanding that’s not true and I can </w:t>
      </w:r>
      <w:proofErr w:type="gramStart"/>
      <w:r w:rsidRPr="00793FC3">
        <w:rPr>
          <w:rFonts w:ascii="Calibri" w:hAnsi="Calibri" w:cs="Calibri"/>
          <w:sz w:val="24"/>
          <w:szCs w:val="24"/>
        </w:rPr>
        <w:t>open up</w:t>
      </w:r>
      <w:proofErr w:type="gramEnd"/>
      <w:r w:rsidRPr="00793FC3">
        <w:rPr>
          <w:rFonts w:ascii="Calibri" w:hAnsi="Calibri" w:cs="Calibri"/>
          <w:sz w:val="24"/>
          <w:szCs w:val="24"/>
        </w:rPr>
        <w:t xml:space="preserve"> new POs every year for these? </w:t>
      </w:r>
      <w:proofErr w:type="gramStart"/>
      <w:r w:rsidRPr="00793FC3">
        <w:rPr>
          <w:rFonts w:ascii="Calibri" w:hAnsi="Calibri" w:cs="Calibri"/>
          <w:sz w:val="24"/>
          <w:szCs w:val="24"/>
        </w:rPr>
        <w:t>Also</w:t>
      </w:r>
      <w:proofErr w:type="gramEnd"/>
      <w:r w:rsidRPr="00793FC3">
        <w:rPr>
          <w:rFonts w:ascii="Calibri" w:hAnsi="Calibri" w:cs="Calibri"/>
          <w:sz w:val="24"/>
          <w:szCs w:val="24"/>
        </w:rPr>
        <w:t xml:space="preserve"> our copiers contracts too I was told </w:t>
      </w:r>
      <w:proofErr w:type="gramStart"/>
      <w:r w:rsidRPr="00793FC3">
        <w:rPr>
          <w:rFonts w:ascii="Calibri" w:hAnsi="Calibri" w:cs="Calibri"/>
          <w:sz w:val="24"/>
          <w:szCs w:val="24"/>
        </w:rPr>
        <w:t>have to</w:t>
      </w:r>
      <w:proofErr w:type="gramEnd"/>
      <w:r w:rsidRPr="00793FC3">
        <w:rPr>
          <w:rFonts w:ascii="Calibri" w:hAnsi="Calibri" w:cs="Calibri"/>
          <w:sz w:val="24"/>
          <w:szCs w:val="24"/>
        </w:rPr>
        <w:t xml:space="preserve"> keep rolling over.</w:t>
      </w:r>
      <w:r w:rsidRPr="00793FC3">
        <w:br/>
      </w:r>
      <w:r w:rsidRPr="00485771">
        <w:rPr>
          <w:rFonts w:ascii="Calibri" w:hAnsi="Calibri" w:cs="Calibri"/>
          <w:color w:val="4F81BD" w:themeColor="accent1"/>
          <w:sz w:val="24"/>
          <w:szCs w:val="24"/>
        </w:rPr>
        <w:t>For guidance on janitorial questions please contact DAS Procurement.</w:t>
      </w:r>
      <w:r w:rsidRPr="00485771">
        <w:rPr>
          <w:rFonts w:ascii="Calibri" w:hAnsi="Calibri" w:cs="Calibri"/>
          <w:color w:val="4F81BD" w:themeColor="accent1"/>
          <w:sz w:val="24"/>
          <w:szCs w:val="24"/>
        </w:rPr>
        <w:br/>
        <w:t>For guidance on POs, please contact your business office or Core-CT</w:t>
      </w:r>
    </w:p>
    <w:p w14:paraId="1AE13F5E" w14:textId="286337C3" w:rsidR="007C4F20" w:rsidRPr="00FC7ED4" w:rsidRDefault="00BB4F34" w:rsidP="00D9153E">
      <w:pPr>
        <w:pStyle w:val="ListParagraph"/>
        <w:numPr>
          <w:ilvl w:val="0"/>
          <w:numId w:val="30"/>
        </w:numPr>
        <w:rPr>
          <w:rFonts w:ascii="Calibri" w:hAnsi="Calibri" w:cs="Calibri"/>
          <w:sz w:val="24"/>
          <w:szCs w:val="24"/>
        </w:rPr>
      </w:pPr>
      <w:r w:rsidRPr="008E78BC">
        <w:rPr>
          <w:rFonts w:ascii="Calibri" w:hAnsi="Calibri" w:cs="Calibri"/>
          <w:sz w:val="24"/>
          <w:szCs w:val="24"/>
        </w:rPr>
        <w:t>How do we process large monthly orders for bus passes? These transactions are over $25K for 14 different offices; they are typically $10K to $60K. The passes are going to area offices to then be distributed to clients to attend visitation</w:t>
      </w:r>
      <w:r>
        <w:rPr>
          <w:rFonts w:ascii="Calibri" w:hAnsi="Calibri" w:cs="Calibri"/>
          <w:sz w:val="24"/>
          <w:szCs w:val="24"/>
        </w:rPr>
        <w:t>.</w:t>
      </w:r>
    </w:p>
    <w:p w14:paraId="44F9FFA0" w14:textId="77777777" w:rsidR="00FC7ED4" w:rsidRPr="00F156F3" w:rsidRDefault="00FC7ED4" w:rsidP="00FC7ED4">
      <w:pPr>
        <w:spacing w:after="160" w:line="278" w:lineRule="auto"/>
        <w:ind w:left="720"/>
        <w:rPr>
          <w:rFonts w:ascii="Calibri" w:hAnsi="Calibri" w:cs="Calibri"/>
          <w:color w:val="0070C0"/>
          <w:sz w:val="24"/>
          <w:szCs w:val="24"/>
        </w:rPr>
      </w:pPr>
      <w:r w:rsidRPr="00F156F3">
        <w:rPr>
          <w:rFonts w:ascii="Calibri" w:hAnsi="Calibri" w:cs="Calibri"/>
          <w:color w:val="0070C0"/>
          <w:sz w:val="24"/>
          <w:szCs w:val="24"/>
        </w:rPr>
        <w:t>The use of GL71 procurement authority is intended only for purchases related to agency operations and employees. If the purchase is intended for public or client-facing purposes</w:t>
      </w:r>
      <w:r w:rsidRPr="008E78BC">
        <w:rPr>
          <w:rFonts w:ascii="Calibri" w:hAnsi="Calibri" w:cs="Calibri"/>
          <w:color w:val="0070C0"/>
          <w:sz w:val="24"/>
          <w:szCs w:val="24"/>
        </w:rPr>
        <w:t xml:space="preserve">, </w:t>
      </w:r>
      <w:r w:rsidRPr="00F156F3">
        <w:rPr>
          <w:rFonts w:ascii="Calibri" w:hAnsi="Calibri" w:cs="Calibri"/>
          <w:color w:val="0070C0"/>
          <w:sz w:val="24"/>
          <w:szCs w:val="24"/>
        </w:rPr>
        <w:t>such as programmatic supplies like bus passes</w:t>
      </w:r>
      <w:r w:rsidRPr="008E78BC">
        <w:rPr>
          <w:rFonts w:ascii="Calibri" w:hAnsi="Calibri" w:cs="Calibri"/>
          <w:color w:val="0070C0"/>
          <w:sz w:val="24"/>
          <w:szCs w:val="24"/>
        </w:rPr>
        <w:t xml:space="preserve">, </w:t>
      </w:r>
      <w:r w:rsidRPr="00F156F3">
        <w:rPr>
          <w:rFonts w:ascii="Calibri" w:hAnsi="Calibri" w:cs="Calibri"/>
          <w:color w:val="0070C0"/>
          <w:sz w:val="24"/>
          <w:szCs w:val="24"/>
        </w:rPr>
        <w:t>you must first consult with your agency legal counsel to determine the appropriate Connecticut General Statute (CGS) that authorizes the purchase.</w:t>
      </w:r>
    </w:p>
    <w:p w14:paraId="45D07DB5" w14:textId="77777777" w:rsidR="00FC7ED4" w:rsidRPr="00F156F3" w:rsidRDefault="00FC7ED4" w:rsidP="00FC7ED4">
      <w:pPr>
        <w:spacing w:after="160" w:line="278" w:lineRule="auto"/>
        <w:ind w:left="720"/>
        <w:rPr>
          <w:rFonts w:ascii="Calibri" w:hAnsi="Calibri" w:cs="Calibri"/>
          <w:color w:val="0070C0"/>
          <w:sz w:val="24"/>
          <w:szCs w:val="24"/>
        </w:rPr>
      </w:pPr>
      <w:r w:rsidRPr="00F156F3">
        <w:rPr>
          <w:rFonts w:ascii="Calibri" w:hAnsi="Calibri" w:cs="Calibri"/>
          <w:color w:val="0070C0"/>
          <w:sz w:val="24"/>
          <w:szCs w:val="24"/>
        </w:rPr>
        <w:t>Key points to consider:</w:t>
      </w:r>
    </w:p>
    <w:p w14:paraId="6A7367C3" w14:textId="77777777" w:rsidR="00FC7ED4" w:rsidRPr="00F156F3" w:rsidRDefault="00FC7ED4" w:rsidP="00FC7ED4">
      <w:pPr>
        <w:numPr>
          <w:ilvl w:val="0"/>
          <w:numId w:val="42"/>
        </w:numPr>
        <w:tabs>
          <w:tab w:val="num" w:pos="720"/>
        </w:tabs>
        <w:spacing w:after="160" w:line="278" w:lineRule="auto"/>
        <w:rPr>
          <w:rFonts w:ascii="Calibri" w:hAnsi="Calibri" w:cs="Calibri"/>
          <w:color w:val="0070C0"/>
          <w:sz w:val="24"/>
          <w:szCs w:val="24"/>
        </w:rPr>
      </w:pPr>
      <w:r w:rsidRPr="00F156F3">
        <w:rPr>
          <w:rFonts w:ascii="Calibri" w:hAnsi="Calibri" w:cs="Calibri"/>
          <w:color w:val="0070C0"/>
          <w:sz w:val="24"/>
          <w:szCs w:val="24"/>
        </w:rPr>
        <w:t>GL71 authority, as delegated by DAS, applies solely to the internal operation of state agencies.</w:t>
      </w:r>
    </w:p>
    <w:p w14:paraId="686089F7" w14:textId="77777777" w:rsidR="00FC7ED4" w:rsidRPr="00F156F3" w:rsidRDefault="00FC7ED4" w:rsidP="00FC7ED4">
      <w:pPr>
        <w:numPr>
          <w:ilvl w:val="0"/>
          <w:numId w:val="42"/>
        </w:numPr>
        <w:tabs>
          <w:tab w:val="num" w:pos="720"/>
        </w:tabs>
        <w:spacing w:after="160" w:line="278" w:lineRule="auto"/>
        <w:rPr>
          <w:rFonts w:ascii="Calibri" w:hAnsi="Calibri" w:cs="Calibri"/>
          <w:color w:val="0070C0"/>
          <w:sz w:val="24"/>
          <w:szCs w:val="24"/>
        </w:rPr>
      </w:pPr>
      <w:r w:rsidRPr="00F156F3">
        <w:rPr>
          <w:rFonts w:ascii="Calibri" w:hAnsi="Calibri" w:cs="Calibri"/>
          <w:color w:val="0070C0"/>
          <w:sz w:val="24"/>
          <w:szCs w:val="24"/>
        </w:rPr>
        <w:t>Purchases related to agency programs and client services fall under the statutory authority granted to your Commissioner by the Legislature.</w:t>
      </w:r>
    </w:p>
    <w:p w14:paraId="5A99B8AC" w14:textId="77777777" w:rsidR="00FC7ED4" w:rsidRPr="00F156F3" w:rsidRDefault="00FC7ED4" w:rsidP="00FC7ED4">
      <w:pPr>
        <w:numPr>
          <w:ilvl w:val="0"/>
          <w:numId w:val="42"/>
        </w:numPr>
        <w:tabs>
          <w:tab w:val="num" w:pos="720"/>
        </w:tabs>
        <w:spacing w:after="160" w:line="278" w:lineRule="auto"/>
        <w:rPr>
          <w:rFonts w:ascii="Calibri" w:hAnsi="Calibri" w:cs="Calibri"/>
          <w:color w:val="0070C0"/>
          <w:sz w:val="24"/>
          <w:szCs w:val="24"/>
        </w:rPr>
      </w:pPr>
      <w:r w:rsidRPr="00F156F3">
        <w:rPr>
          <w:rFonts w:ascii="Calibri" w:hAnsi="Calibri" w:cs="Calibri"/>
          <w:color w:val="0070C0"/>
          <w:sz w:val="24"/>
          <w:szCs w:val="24"/>
        </w:rPr>
        <w:t xml:space="preserve">Your legal counsel can identify the specific CGS citation applicable to the program under which the purchase is </w:t>
      </w:r>
      <w:proofErr w:type="gramStart"/>
      <w:r w:rsidRPr="00F156F3">
        <w:rPr>
          <w:rFonts w:ascii="Calibri" w:hAnsi="Calibri" w:cs="Calibri"/>
          <w:color w:val="0070C0"/>
          <w:sz w:val="24"/>
          <w:szCs w:val="24"/>
        </w:rPr>
        <w:t>being made</w:t>
      </w:r>
      <w:proofErr w:type="gramEnd"/>
      <w:r w:rsidRPr="00F156F3">
        <w:rPr>
          <w:rFonts w:ascii="Calibri" w:hAnsi="Calibri" w:cs="Calibri"/>
          <w:color w:val="0070C0"/>
          <w:sz w:val="24"/>
          <w:szCs w:val="24"/>
        </w:rPr>
        <w:t>.</w:t>
      </w:r>
    </w:p>
    <w:p w14:paraId="564E868F" w14:textId="77777777" w:rsidR="00FC7ED4" w:rsidRPr="00F156F3" w:rsidRDefault="00FC7ED4" w:rsidP="00FC7ED4">
      <w:pPr>
        <w:numPr>
          <w:ilvl w:val="0"/>
          <w:numId w:val="42"/>
        </w:numPr>
        <w:tabs>
          <w:tab w:val="num" w:pos="720"/>
        </w:tabs>
        <w:spacing w:after="160" w:line="278" w:lineRule="auto"/>
        <w:rPr>
          <w:rFonts w:ascii="Calibri" w:hAnsi="Calibri" w:cs="Calibri"/>
          <w:color w:val="0070C0"/>
          <w:sz w:val="24"/>
          <w:szCs w:val="24"/>
        </w:rPr>
      </w:pPr>
      <w:r w:rsidRPr="00F156F3">
        <w:rPr>
          <w:rFonts w:ascii="Calibri" w:hAnsi="Calibri" w:cs="Calibri"/>
          <w:color w:val="0070C0"/>
          <w:sz w:val="24"/>
          <w:szCs w:val="24"/>
        </w:rPr>
        <w:t>Once confirmed, you should:</w:t>
      </w:r>
    </w:p>
    <w:p w14:paraId="1D8D0141" w14:textId="77777777" w:rsidR="00FC7ED4" w:rsidRPr="00F156F3" w:rsidRDefault="00FC7ED4" w:rsidP="00FC7ED4">
      <w:pPr>
        <w:numPr>
          <w:ilvl w:val="1"/>
          <w:numId w:val="42"/>
        </w:numPr>
        <w:tabs>
          <w:tab w:val="num" w:pos="1440"/>
        </w:tabs>
        <w:spacing w:after="160" w:line="278" w:lineRule="auto"/>
        <w:rPr>
          <w:rFonts w:ascii="Calibri" w:hAnsi="Calibri" w:cs="Calibri"/>
          <w:color w:val="0070C0"/>
          <w:sz w:val="24"/>
          <w:szCs w:val="24"/>
        </w:rPr>
      </w:pPr>
      <w:r w:rsidRPr="00F156F3">
        <w:rPr>
          <w:rFonts w:ascii="Calibri" w:hAnsi="Calibri" w:cs="Calibri"/>
          <w:color w:val="0070C0"/>
          <w:sz w:val="24"/>
          <w:szCs w:val="24"/>
        </w:rPr>
        <w:t>Use the CGS authority to create your purchase order (PO).</w:t>
      </w:r>
    </w:p>
    <w:p w14:paraId="4575E445" w14:textId="77777777" w:rsidR="00FC7ED4" w:rsidRPr="00F156F3" w:rsidRDefault="00FC7ED4" w:rsidP="00FC7ED4">
      <w:pPr>
        <w:numPr>
          <w:ilvl w:val="1"/>
          <w:numId w:val="42"/>
        </w:numPr>
        <w:tabs>
          <w:tab w:val="num" w:pos="1440"/>
        </w:tabs>
        <w:spacing w:after="160" w:line="278" w:lineRule="auto"/>
        <w:rPr>
          <w:rFonts w:ascii="Calibri" w:hAnsi="Calibri" w:cs="Calibri"/>
          <w:color w:val="0070C0"/>
          <w:sz w:val="24"/>
          <w:szCs w:val="24"/>
        </w:rPr>
      </w:pPr>
      <w:r w:rsidRPr="00F156F3">
        <w:rPr>
          <w:rFonts w:ascii="Calibri" w:hAnsi="Calibri" w:cs="Calibri"/>
          <w:color w:val="0070C0"/>
          <w:sz w:val="24"/>
          <w:szCs w:val="24"/>
        </w:rPr>
        <w:t>Reference the applicable statute in the PO’s comment field for documentation.</w:t>
      </w:r>
    </w:p>
    <w:p w14:paraId="32BFCA5F" w14:textId="366E240A" w:rsidR="00BB4F34" w:rsidRPr="007C4F20" w:rsidRDefault="00FC7ED4" w:rsidP="00FC7ED4">
      <w:pPr>
        <w:pStyle w:val="ListParagraph"/>
        <w:rPr>
          <w:rFonts w:ascii="Calibri" w:hAnsi="Calibri" w:cs="Calibri"/>
          <w:color w:val="4F81BD" w:themeColor="accent1"/>
          <w:sz w:val="24"/>
          <w:szCs w:val="24"/>
        </w:rPr>
      </w:pPr>
      <w:r w:rsidRPr="00F156F3">
        <w:rPr>
          <w:rFonts w:ascii="Calibri" w:hAnsi="Calibri" w:cs="Calibri"/>
          <w:color w:val="0070C0"/>
          <w:sz w:val="24"/>
          <w:szCs w:val="24"/>
        </w:rPr>
        <w:t>For guidance on setting up a CGS-based PO in Core-CT, refer to the Job Aids available on the Core-CT website</w:t>
      </w:r>
      <w:r>
        <w:rPr>
          <w:rFonts w:ascii="Calibri" w:hAnsi="Calibri" w:cs="Calibri"/>
          <w:color w:val="0070C0"/>
          <w:sz w:val="24"/>
          <w:szCs w:val="24"/>
        </w:rPr>
        <w:t>.</w:t>
      </w:r>
    </w:p>
    <w:p w14:paraId="3B9F13BF" w14:textId="34617C10" w:rsidR="007B13B5" w:rsidRPr="007B13B5" w:rsidRDefault="007B13B5" w:rsidP="00D9153E">
      <w:pPr>
        <w:pStyle w:val="ListParagraph"/>
        <w:numPr>
          <w:ilvl w:val="0"/>
          <w:numId w:val="30"/>
        </w:numPr>
        <w:rPr>
          <w:rFonts w:ascii="Calibri" w:hAnsi="Calibri" w:cs="Calibri"/>
          <w:color w:val="4F81BD" w:themeColor="accent1"/>
          <w:sz w:val="24"/>
          <w:szCs w:val="24"/>
        </w:rPr>
      </w:pPr>
      <w:r w:rsidRPr="00485771">
        <w:rPr>
          <w:rFonts w:ascii="Calibri" w:hAnsi="Calibri" w:cs="Calibri"/>
          <w:sz w:val="24"/>
          <w:szCs w:val="24"/>
        </w:rPr>
        <w:t>I have a very case specific question about the availability of GL71 for agencies that might not find the exact service they need in an existing statewide contract. This has to do with food scrap collection and the Rubbish and Recycling contract. Are you aware of the work that's being done on the rubbish and recycling contract where food scrap collection was added to that contract?</w:t>
      </w:r>
      <w:r w:rsidRPr="00757C14">
        <w:br/>
      </w:r>
      <w:r w:rsidRPr="0066566A">
        <w:rPr>
          <w:rFonts w:ascii="Calibri" w:hAnsi="Calibri" w:cs="Calibri"/>
          <w:color w:val="4F81BD" w:themeColor="accent1"/>
          <w:sz w:val="24"/>
          <w:szCs w:val="24"/>
        </w:rPr>
        <w:t>• If the service (e.g., food scrap collection) is unavailable via statewide contract due to location or feasibility, GL71 may be used.</w:t>
      </w:r>
      <w:r w:rsidRPr="0066566A">
        <w:rPr>
          <w:rFonts w:ascii="Calibri" w:hAnsi="Calibri" w:cs="Calibri"/>
          <w:color w:val="4F81BD" w:themeColor="accent1"/>
          <w:sz w:val="24"/>
          <w:szCs w:val="24"/>
        </w:rPr>
        <w:br/>
        <w:t>• If service is $25K</w:t>
      </w:r>
      <w:r>
        <w:rPr>
          <w:rFonts w:ascii="Calibri" w:hAnsi="Calibri" w:cs="Calibri"/>
          <w:color w:val="4F81BD" w:themeColor="accent1"/>
          <w:sz w:val="24"/>
          <w:szCs w:val="24"/>
        </w:rPr>
        <w:t xml:space="preserve"> or less</w:t>
      </w:r>
      <w:r w:rsidRPr="0066566A">
        <w:rPr>
          <w:rFonts w:ascii="Calibri" w:hAnsi="Calibri" w:cs="Calibri"/>
          <w:color w:val="4F81BD" w:themeColor="accent1"/>
          <w:sz w:val="24"/>
          <w:szCs w:val="24"/>
        </w:rPr>
        <w:t xml:space="preserve"> and performed within one year, no contract is required.</w:t>
      </w:r>
    </w:p>
    <w:p w14:paraId="4300A8B5" w14:textId="77777777" w:rsidR="00A7629E" w:rsidRPr="00D61E1E" w:rsidRDefault="00B754CD" w:rsidP="005E75FE">
      <w:pPr>
        <w:pStyle w:val="NormalWeb"/>
        <w:numPr>
          <w:ilvl w:val="0"/>
          <w:numId w:val="30"/>
        </w:numPr>
        <w:rPr>
          <w:rFonts w:asciiTheme="majorHAnsi" w:eastAsiaTheme="minorEastAsia" w:hAnsiTheme="majorHAnsi" w:cstheme="majorHAnsi"/>
          <w:color w:val="4F81BD" w:themeColor="accent1"/>
        </w:rPr>
      </w:pPr>
      <w:r w:rsidRPr="008E78BC">
        <w:rPr>
          <w:rFonts w:ascii="Calibri" w:hAnsi="Calibri" w:cs="Calibri"/>
        </w:rPr>
        <w:t>How do I handle subscription-based software under the $100K threshold where we are receiving recurring monthly invoices because it’s a month-to-month subscription service and the license is only available from that provider/publisher</w:t>
      </w:r>
      <w:r w:rsidR="00485771" w:rsidRPr="00485771">
        <w:rPr>
          <w:rFonts w:ascii="Calibri" w:hAnsi="Calibri" w:cs="Calibri"/>
        </w:rPr>
        <w:t>?</w:t>
      </w:r>
      <w:r w:rsidR="00485771" w:rsidRPr="00757C14">
        <w:br/>
      </w:r>
      <w:r w:rsidR="00A7629E" w:rsidRPr="00D61E1E">
        <w:rPr>
          <w:rFonts w:asciiTheme="majorHAnsi" w:eastAsiaTheme="minorEastAsia" w:hAnsiTheme="majorHAnsi" w:cstheme="majorHAnsi"/>
          <w:color w:val="4F81BD" w:themeColor="accent1"/>
        </w:rPr>
        <w:t>Before initiating any software or software licensing purchase, your first step should be to consult with your BITS Customer Success Manager (CSM) or IT Manager. They will help assess whether the purchase should proceed independently or if there is an existing statewide contract, such as Cloud Solutions or SVAR, that would be a more appropriate and cost-effective method for retaining the license.</w:t>
      </w:r>
    </w:p>
    <w:p w14:paraId="0B54F72E" w14:textId="77777777" w:rsidR="00A7629E" w:rsidRPr="00D61E1E" w:rsidRDefault="00A7629E" w:rsidP="00A7629E">
      <w:pPr>
        <w:pStyle w:val="NormalWeb"/>
        <w:ind w:left="720"/>
        <w:rPr>
          <w:rFonts w:asciiTheme="majorHAnsi" w:eastAsiaTheme="minorEastAsia" w:hAnsiTheme="majorHAnsi" w:cstheme="majorHAnsi"/>
          <w:color w:val="4F81BD" w:themeColor="accent1"/>
        </w:rPr>
      </w:pPr>
      <w:r w:rsidRPr="00D61E1E">
        <w:rPr>
          <w:rFonts w:asciiTheme="majorHAnsi" w:eastAsiaTheme="minorEastAsia" w:hAnsiTheme="majorHAnsi" w:cstheme="majorHAnsi"/>
          <w:color w:val="4F81BD" w:themeColor="accent1"/>
        </w:rPr>
        <w:t>If it's determined that continuing with the current provider or publisher is the best course of action, follow the guidance outlined in GL71b and use the agency form contract.</w:t>
      </w:r>
    </w:p>
    <w:p w14:paraId="1C7A3B5C" w14:textId="559B67DE" w:rsidR="00485771" w:rsidRPr="00D61E1E" w:rsidRDefault="00A7629E" w:rsidP="00A7629E">
      <w:pPr>
        <w:pStyle w:val="ListParagraph"/>
        <w:rPr>
          <w:rFonts w:asciiTheme="majorHAnsi" w:hAnsiTheme="majorHAnsi" w:cstheme="majorHAnsi"/>
          <w:color w:val="4F81BD" w:themeColor="accent1"/>
          <w:sz w:val="24"/>
          <w:szCs w:val="24"/>
        </w:rPr>
      </w:pPr>
      <w:r w:rsidRPr="00D61E1E">
        <w:rPr>
          <w:rFonts w:asciiTheme="majorHAnsi" w:hAnsiTheme="majorHAnsi" w:cstheme="majorHAnsi"/>
          <w:color w:val="4F81BD" w:themeColor="accent1"/>
          <w:sz w:val="24"/>
          <w:szCs w:val="24"/>
        </w:rPr>
        <w:t>Note: Competitive bidding is required whenever feasible. However, in the case of continuing an existing license, bidding may not be reasonable. If so, proceed with a contract extension, ensuring the rationale is clearly and thoroughly documented. Before finalizing, confirm that the Statement of Work (SOW) has been reviewed with the CSM. If you need assistance, the Technology Contracting Team is always available to support you throughout the process</w:t>
      </w:r>
      <w:r w:rsidR="00485771" w:rsidRPr="00D61E1E">
        <w:rPr>
          <w:rFonts w:asciiTheme="majorHAnsi" w:hAnsiTheme="majorHAnsi" w:cstheme="majorHAnsi"/>
          <w:color w:val="4F81BD" w:themeColor="accent1"/>
          <w:sz w:val="24"/>
          <w:szCs w:val="24"/>
        </w:rPr>
        <w:t>.</w:t>
      </w:r>
    </w:p>
    <w:p w14:paraId="76DAE2AF" w14:textId="026410AC" w:rsidR="00800647" w:rsidRPr="00FC743A" w:rsidRDefault="00800647" w:rsidP="002F1AA3">
      <w:pPr>
        <w:pStyle w:val="Heading1"/>
        <w:numPr>
          <w:ilvl w:val="0"/>
          <w:numId w:val="7"/>
        </w:numPr>
        <w15:collapsed/>
        <w:rPr>
          <w:rFonts w:ascii="Calibri" w:hAnsi="Calibri" w:cs="Calibri"/>
          <w:color w:val="auto"/>
          <w:sz w:val="32"/>
          <w:szCs w:val="32"/>
        </w:rPr>
      </w:pPr>
      <w:r w:rsidRPr="00FC743A">
        <w:rPr>
          <w:rFonts w:ascii="Calibri" w:hAnsi="Calibri" w:cs="Calibri"/>
          <w:color w:val="auto"/>
          <w:sz w:val="32"/>
          <w:szCs w:val="32"/>
        </w:rPr>
        <w:t>Grant Transactions</w:t>
      </w:r>
    </w:p>
    <w:p w14:paraId="08BC0A0D" w14:textId="51CCA596" w:rsidR="00F64BD1" w:rsidRPr="00FC743A" w:rsidRDefault="00BD05CA" w:rsidP="00981FC6">
      <w:pPr>
        <w:ind w:left="360"/>
        <w:rPr>
          <w:rFonts w:ascii="Calibri" w:hAnsi="Calibri" w:cs="Calibri"/>
          <w:color w:val="4F81BD" w:themeColor="accent1"/>
          <w:sz w:val="24"/>
          <w:szCs w:val="24"/>
        </w:rPr>
      </w:pPr>
      <w:r w:rsidRPr="00FC743A">
        <w:rPr>
          <w:rFonts w:ascii="Calibri" w:hAnsi="Calibri" w:cs="Calibri"/>
          <w:color w:val="4F81BD" w:themeColor="accent1"/>
          <w:sz w:val="24"/>
          <w:szCs w:val="24"/>
        </w:rPr>
        <w:t xml:space="preserve">Grant transactions are not authorized under GL71. Grant transactions must be entered into Core-CT as </w:t>
      </w:r>
      <w:r w:rsidR="00DC00C0">
        <w:rPr>
          <w:rFonts w:ascii="Calibri" w:hAnsi="Calibri" w:cs="Calibri"/>
          <w:color w:val="4F81BD" w:themeColor="accent1"/>
          <w:sz w:val="24"/>
          <w:szCs w:val="24"/>
        </w:rPr>
        <w:t>a procurement contract</w:t>
      </w:r>
      <w:r w:rsidR="001E1A1B">
        <w:rPr>
          <w:rFonts w:ascii="Calibri" w:hAnsi="Calibri" w:cs="Calibri"/>
          <w:color w:val="4F81BD" w:themeColor="accent1"/>
          <w:sz w:val="24"/>
          <w:szCs w:val="24"/>
        </w:rPr>
        <w:t xml:space="preserve"> as a contract </w:t>
      </w:r>
      <w:proofErr w:type="gramStart"/>
      <w:r w:rsidR="00BE2699">
        <w:rPr>
          <w:rFonts w:ascii="Calibri" w:hAnsi="Calibri" w:cs="Calibri"/>
          <w:color w:val="4F81BD" w:themeColor="accent1"/>
          <w:sz w:val="24"/>
          <w:szCs w:val="24"/>
        </w:rPr>
        <w:t>option: ‘</w:t>
      </w:r>
      <w:proofErr w:type="gramEnd"/>
      <w:r w:rsidR="001E1A1B">
        <w:rPr>
          <w:rFonts w:ascii="Calibri" w:hAnsi="Calibri" w:cs="Calibri"/>
          <w:color w:val="4F81BD" w:themeColor="accent1"/>
          <w:sz w:val="24"/>
          <w:szCs w:val="24"/>
        </w:rPr>
        <w:t>purchase order</w:t>
      </w:r>
      <w:r w:rsidR="00BE2699">
        <w:rPr>
          <w:rFonts w:ascii="Calibri" w:hAnsi="Calibri" w:cs="Calibri"/>
          <w:color w:val="4F81BD" w:themeColor="accent1"/>
          <w:sz w:val="24"/>
          <w:szCs w:val="24"/>
        </w:rPr>
        <w:t>’</w:t>
      </w:r>
      <w:r w:rsidR="001E1A1B">
        <w:rPr>
          <w:rFonts w:ascii="Calibri" w:hAnsi="Calibri" w:cs="Calibri"/>
          <w:color w:val="4F81BD" w:themeColor="accent1"/>
          <w:sz w:val="24"/>
          <w:szCs w:val="24"/>
        </w:rPr>
        <w:t xml:space="preserve"> and </w:t>
      </w:r>
      <w:r w:rsidR="003F2E2F">
        <w:rPr>
          <w:rFonts w:ascii="Calibri" w:hAnsi="Calibri" w:cs="Calibri"/>
          <w:color w:val="4F81BD" w:themeColor="accent1"/>
          <w:sz w:val="24"/>
          <w:szCs w:val="24"/>
        </w:rPr>
        <w:t xml:space="preserve">select the </w:t>
      </w:r>
      <w:r w:rsidRPr="00FC743A">
        <w:rPr>
          <w:rFonts w:ascii="Calibri" w:hAnsi="Calibri" w:cs="Calibri"/>
          <w:color w:val="4F81BD" w:themeColor="accent1"/>
          <w:sz w:val="24"/>
          <w:szCs w:val="24"/>
        </w:rPr>
        <w:t xml:space="preserve">contract type 'Grant' with a PO type of 'Contract'. </w:t>
      </w:r>
      <w:r w:rsidR="001D5193" w:rsidRPr="00FC743A">
        <w:rPr>
          <w:rFonts w:ascii="Calibri" w:hAnsi="Calibri" w:cs="Calibri"/>
          <w:color w:val="4F81BD" w:themeColor="accent1"/>
          <w:sz w:val="24"/>
          <w:szCs w:val="24"/>
        </w:rPr>
        <w:t>This answers all questions noted below</w:t>
      </w:r>
      <w:r w:rsidRPr="00FC743A">
        <w:rPr>
          <w:rFonts w:ascii="Calibri" w:hAnsi="Calibri" w:cs="Calibri"/>
          <w:color w:val="4F81BD" w:themeColor="accent1"/>
          <w:sz w:val="24"/>
          <w:szCs w:val="24"/>
        </w:rPr>
        <w:t xml:space="preserve">. </w:t>
      </w:r>
      <w:r w:rsidR="00E33A4E">
        <w:rPr>
          <w:rFonts w:ascii="Calibri" w:hAnsi="Calibri" w:cs="Calibri"/>
          <w:color w:val="4F81BD" w:themeColor="accent1"/>
          <w:sz w:val="24"/>
          <w:szCs w:val="24"/>
        </w:rPr>
        <w:t xml:space="preserve">Use this </w:t>
      </w:r>
      <w:r w:rsidR="00EA6BCD">
        <w:rPr>
          <w:rFonts w:ascii="Calibri" w:hAnsi="Calibri" w:cs="Calibri"/>
          <w:color w:val="4F81BD" w:themeColor="accent1"/>
          <w:sz w:val="24"/>
          <w:szCs w:val="24"/>
        </w:rPr>
        <w:t xml:space="preserve">link for </w:t>
      </w:r>
      <w:hyperlink r:id="rId19" w:history="1">
        <w:r w:rsidR="002F1F59" w:rsidRPr="00323494">
          <w:rPr>
            <w:rStyle w:val="Hyperlink"/>
            <w:rFonts w:ascii="Calibri" w:hAnsi="Calibri" w:cs="Calibri"/>
            <w:sz w:val="24"/>
            <w:szCs w:val="24"/>
          </w:rPr>
          <w:t>Create a contract</w:t>
        </w:r>
      </w:hyperlink>
      <w:r w:rsidR="00323494">
        <w:rPr>
          <w:rFonts w:ascii="Calibri" w:hAnsi="Calibri" w:cs="Calibri"/>
          <w:color w:val="4F81BD" w:themeColor="accent1"/>
          <w:sz w:val="24"/>
          <w:szCs w:val="24"/>
        </w:rPr>
        <w:t xml:space="preserve"> </w:t>
      </w:r>
      <w:r w:rsidR="00E33A4E">
        <w:rPr>
          <w:rFonts w:ascii="Calibri" w:hAnsi="Calibri" w:cs="Calibri"/>
          <w:color w:val="4F81BD" w:themeColor="accent1"/>
          <w:sz w:val="24"/>
          <w:szCs w:val="24"/>
        </w:rPr>
        <w:t>job aid.</w:t>
      </w:r>
    </w:p>
    <w:p w14:paraId="26BC631C" w14:textId="0841FDEF" w:rsidR="00846517" w:rsidRPr="00FC743A" w:rsidRDefault="003806F8" w:rsidP="002F1AA3">
      <w:pPr>
        <w:pStyle w:val="ListParagraph"/>
        <w:numPr>
          <w:ilvl w:val="0"/>
          <w:numId w:val="11"/>
        </w:numPr>
        <w:rPr>
          <w:rFonts w:ascii="Calibri" w:hAnsi="Calibri" w:cs="Calibri"/>
          <w:sz w:val="24"/>
          <w:szCs w:val="24"/>
        </w:rPr>
      </w:pPr>
      <w:r w:rsidRPr="00FC743A">
        <w:rPr>
          <w:rFonts w:ascii="Calibri" w:hAnsi="Calibri" w:cs="Calibri"/>
          <w:sz w:val="24"/>
          <w:szCs w:val="24"/>
        </w:rPr>
        <w:t>How should payments to subgrantees (Local Government and Private Agencies) be processed now that GL71f, GL71g, and GL71d are no longer available? Interagency transactions work for State Agencies, but what is the process for others?</w:t>
      </w:r>
    </w:p>
    <w:p w14:paraId="0A016AFD" w14:textId="2988F311" w:rsidR="006E4972" w:rsidRPr="00FC743A" w:rsidRDefault="002953C3" w:rsidP="002F1AA3">
      <w:pPr>
        <w:pStyle w:val="ListParagraph"/>
        <w:numPr>
          <w:ilvl w:val="0"/>
          <w:numId w:val="11"/>
        </w:numPr>
        <w:rPr>
          <w:rFonts w:ascii="Calibri" w:hAnsi="Calibri" w:cs="Calibri"/>
          <w:sz w:val="24"/>
          <w:szCs w:val="24"/>
        </w:rPr>
      </w:pPr>
      <w:r w:rsidRPr="00FC743A">
        <w:rPr>
          <w:rFonts w:ascii="Calibri" w:hAnsi="Calibri" w:cs="Calibri"/>
          <w:sz w:val="24"/>
          <w:szCs w:val="24"/>
        </w:rPr>
        <w:t>For National Highway Traffic Safety Administration (NHTSA) grants distributed to State Agencies, Towns, Hospitals, and Private Agencies, how should payments be processed when funds are received incrementally throughout the year?</w:t>
      </w:r>
    </w:p>
    <w:p w14:paraId="30DA5802" w14:textId="10F2A59F" w:rsidR="00F64BD1" w:rsidRPr="00FC743A" w:rsidRDefault="004D5A86" w:rsidP="002F1AA3">
      <w:pPr>
        <w:pStyle w:val="ListParagraph"/>
        <w:numPr>
          <w:ilvl w:val="0"/>
          <w:numId w:val="11"/>
        </w:numPr>
        <w:rPr>
          <w:rFonts w:ascii="Calibri" w:hAnsi="Calibri" w:cs="Calibri"/>
          <w:sz w:val="24"/>
          <w:szCs w:val="24"/>
        </w:rPr>
      </w:pPr>
      <w:r w:rsidRPr="00FC743A">
        <w:rPr>
          <w:rFonts w:ascii="Calibri" w:hAnsi="Calibri" w:cs="Calibri"/>
          <w:sz w:val="24"/>
          <w:szCs w:val="24"/>
        </w:rPr>
        <w:t>With approximately 300 grants issued annually—many with multiple payments—how should reimbursements to Towns and Private Agencies be handled if they are not included in the Interagency exclusion list? Would a Non-PO Voucher process be applicable as it is for State Agencies?</w:t>
      </w:r>
    </w:p>
    <w:p w14:paraId="567B178C" w14:textId="2635EF42" w:rsidR="00800647" w:rsidRPr="00FC743A" w:rsidRDefault="00800647" w:rsidP="002F1AA3">
      <w:pPr>
        <w:pStyle w:val="Heading1"/>
        <w:numPr>
          <w:ilvl w:val="0"/>
          <w:numId w:val="7"/>
        </w:numPr>
        <w15:collapsed/>
        <w:rPr>
          <w:rFonts w:ascii="Calibri" w:hAnsi="Calibri" w:cs="Calibri"/>
          <w:color w:val="auto"/>
          <w:sz w:val="32"/>
          <w:szCs w:val="32"/>
        </w:rPr>
      </w:pPr>
      <w:r w:rsidRPr="00FC743A">
        <w:rPr>
          <w:rFonts w:ascii="Calibri" w:hAnsi="Calibri" w:cs="Calibri"/>
          <w:color w:val="auto"/>
          <w:sz w:val="32"/>
          <w:szCs w:val="32"/>
        </w:rPr>
        <w:t xml:space="preserve">Inter-Agency </w:t>
      </w:r>
      <w:r w:rsidR="00EE3EFC">
        <w:rPr>
          <w:rFonts w:ascii="Calibri" w:hAnsi="Calibri" w:cs="Calibri"/>
          <w:color w:val="auto"/>
          <w:sz w:val="32"/>
          <w:szCs w:val="32"/>
        </w:rPr>
        <w:t xml:space="preserve">Payments, </w:t>
      </w:r>
      <w:r w:rsidR="00F048AC">
        <w:rPr>
          <w:rFonts w:ascii="Calibri" w:hAnsi="Calibri" w:cs="Calibri"/>
          <w:color w:val="auto"/>
          <w:sz w:val="32"/>
          <w:szCs w:val="32"/>
        </w:rPr>
        <w:t>Reimbursements</w:t>
      </w:r>
      <w:r w:rsidR="00F048AC" w:rsidRPr="00FC743A">
        <w:rPr>
          <w:rFonts w:ascii="Calibri" w:hAnsi="Calibri" w:cs="Calibri"/>
          <w:color w:val="auto"/>
          <w:sz w:val="32"/>
          <w:szCs w:val="32"/>
        </w:rPr>
        <w:t xml:space="preserve"> </w:t>
      </w:r>
      <w:r w:rsidR="00F048AC">
        <w:rPr>
          <w:rFonts w:ascii="Calibri" w:hAnsi="Calibri" w:cs="Calibri"/>
          <w:color w:val="auto"/>
          <w:sz w:val="32"/>
          <w:szCs w:val="32"/>
        </w:rPr>
        <w:t xml:space="preserve">&amp; </w:t>
      </w:r>
      <w:r w:rsidRPr="00FC743A">
        <w:rPr>
          <w:rFonts w:ascii="Calibri" w:hAnsi="Calibri" w:cs="Calibri"/>
          <w:color w:val="auto"/>
          <w:sz w:val="32"/>
          <w:szCs w:val="32"/>
        </w:rPr>
        <w:t>Transfers</w:t>
      </w:r>
    </w:p>
    <w:p w14:paraId="68D12E01" w14:textId="52FCFE63" w:rsidR="00D87C5E" w:rsidRPr="00FC743A" w:rsidRDefault="009C7A93" w:rsidP="003073CB">
      <w:pPr>
        <w:ind w:left="360"/>
        <w:rPr>
          <w:rFonts w:ascii="Calibri" w:hAnsi="Calibri" w:cs="Calibri"/>
          <w:color w:val="4F81BD" w:themeColor="accent1"/>
          <w:sz w:val="24"/>
          <w:szCs w:val="24"/>
        </w:rPr>
      </w:pPr>
      <w:r w:rsidRPr="00FC743A">
        <w:rPr>
          <w:rFonts w:ascii="Calibri" w:hAnsi="Calibri" w:cs="Calibri"/>
          <w:color w:val="4F81BD" w:themeColor="accent1"/>
          <w:sz w:val="24"/>
          <w:szCs w:val="24"/>
        </w:rPr>
        <w:t xml:space="preserve">Inter-agency payments, </w:t>
      </w:r>
      <w:r w:rsidR="00F048AC">
        <w:rPr>
          <w:rFonts w:ascii="Calibri" w:hAnsi="Calibri" w:cs="Calibri"/>
          <w:color w:val="4F81BD" w:themeColor="accent1"/>
          <w:sz w:val="24"/>
          <w:szCs w:val="24"/>
        </w:rPr>
        <w:t xml:space="preserve">reimbursements </w:t>
      </w:r>
      <w:r w:rsidRPr="00FC743A">
        <w:rPr>
          <w:rFonts w:ascii="Calibri" w:hAnsi="Calibri" w:cs="Calibri"/>
          <w:color w:val="4F81BD" w:themeColor="accent1"/>
          <w:sz w:val="24"/>
          <w:szCs w:val="24"/>
        </w:rPr>
        <w:t xml:space="preserve">and </w:t>
      </w:r>
      <w:r w:rsidR="00F048AC" w:rsidRPr="00FC743A">
        <w:rPr>
          <w:rFonts w:ascii="Calibri" w:hAnsi="Calibri" w:cs="Calibri"/>
          <w:color w:val="4F81BD" w:themeColor="accent1"/>
          <w:sz w:val="24"/>
          <w:szCs w:val="24"/>
        </w:rPr>
        <w:t>transfers</w:t>
      </w:r>
      <w:r w:rsidRPr="00FC743A">
        <w:rPr>
          <w:rFonts w:ascii="Calibri" w:hAnsi="Calibri" w:cs="Calibri"/>
          <w:color w:val="4F81BD" w:themeColor="accent1"/>
          <w:sz w:val="24"/>
          <w:szCs w:val="24"/>
        </w:rPr>
        <w:t xml:space="preserve"> are not authorized under GL71. Use </w:t>
      </w:r>
      <w:r w:rsidR="00F03F8E">
        <w:rPr>
          <w:rFonts w:ascii="Calibri" w:hAnsi="Calibri" w:cs="Calibri"/>
          <w:color w:val="4F81BD" w:themeColor="accent1"/>
          <w:sz w:val="24"/>
          <w:szCs w:val="24"/>
        </w:rPr>
        <w:t xml:space="preserve">either </w:t>
      </w:r>
      <w:r w:rsidRPr="00FC743A">
        <w:rPr>
          <w:rFonts w:ascii="Calibri" w:hAnsi="Calibri" w:cs="Calibri"/>
          <w:color w:val="4F81BD" w:themeColor="accent1"/>
          <w:sz w:val="24"/>
          <w:szCs w:val="24"/>
        </w:rPr>
        <w:t xml:space="preserve">a Non-PO Voucher or MOU agreement </w:t>
      </w:r>
      <w:r w:rsidR="00CA18EC">
        <w:rPr>
          <w:rFonts w:ascii="Calibri" w:hAnsi="Calibri" w:cs="Calibri"/>
          <w:color w:val="4F81BD" w:themeColor="accent1"/>
          <w:sz w:val="24"/>
          <w:szCs w:val="24"/>
        </w:rPr>
        <w:t xml:space="preserve">by creating a procurement contract </w:t>
      </w:r>
      <w:r w:rsidRPr="00FC743A">
        <w:rPr>
          <w:rFonts w:ascii="Calibri" w:hAnsi="Calibri" w:cs="Calibri"/>
          <w:color w:val="4F81BD" w:themeColor="accent1"/>
          <w:sz w:val="24"/>
          <w:szCs w:val="24"/>
        </w:rPr>
        <w:t xml:space="preserve">in Core-CT to process these transactions. </w:t>
      </w:r>
      <w:r w:rsidR="001E5C71">
        <w:rPr>
          <w:rFonts w:ascii="Calibri" w:hAnsi="Calibri" w:cs="Calibri"/>
          <w:color w:val="4F81BD" w:themeColor="accent1"/>
          <w:sz w:val="24"/>
          <w:szCs w:val="24"/>
        </w:rPr>
        <w:t xml:space="preserve">If MOU/MOA exists, use ‘Contract’ purchasing authority for the PO. </w:t>
      </w:r>
      <w:r w:rsidR="00880860" w:rsidRPr="00FC743A">
        <w:rPr>
          <w:rFonts w:ascii="Calibri" w:hAnsi="Calibri" w:cs="Calibri"/>
          <w:color w:val="4F81BD" w:themeColor="accent1"/>
          <w:sz w:val="24"/>
          <w:szCs w:val="24"/>
        </w:rPr>
        <w:t>This answers all questions noted below</w:t>
      </w:r>
      <w:r w:rsidRPr="00FC743A">
        <w:rPr>
          <w:rFonts w:ascii="Calibri" w:hAnsi="Calibri" w:cs="Calibri"/>
          <w:color w:val="4F81BD" w:themeColor="accent1"/>
          <w:sz w:val="24"/>
          <w:szCs w:val="24"/>
        </w:rPr>
        <w:t>.</w:t>
      </w:r>
    </w:p>
    <w:p w14:paraId="3BDEC557" w14:textId="3DA7B5A2" w:rsidR="00D87C5E" w:rsidRPr="00FC743A" w:rsidRDefault="00D87C5E" w:rsidP="002F1AA3">
      <w:pPr>
        <w:pStyle w:val="ListParagraph"/>
        <w:numPr>
          <w:ilvl w:val="0"/>
          <w:numId w:val="12"/>
        </w:numPr>
        <w:rPr>
          <w:rFonts w:ascii="Calibri" w:hAnsi="Calibri" w:cs="Calibri"/>
          <w:sz w:val="24"/>
          <w:szCs w:val="24"/>
        </w:rPr>
      </w:pPr>
      <w:r w:rsidRPr="00FC743A">
        <w:rPr>
          <w:rFonts w:ascii="Calibri" w:hAnsi="Calibri" w:cs="Calibri"/>
          <w:sz w:val="24"/>
          <w:szCs w:val="24"/>
        </w:rPr>
        <w:t>When we purchase from other state agencies, a GL71F was used. How should those purchases be made now?</w:t>
      </w:r>
    </w:p>
    <w:p w14:paraId="6C456070" w14:textId="014DFDE4" w:rsidR="00D87C5E" w:rsidRDefault="000A5A21" w:rsidP="002F1AA3">
      <w:pPr>
        <w:pStyle w:val="ListParagraph"/>
        <w:numPr>
          <w:ilvl w:val="0"/>
          <w:numId w:val="12"/>
        </w:numPr>
        <w:rPr>
          <w:rFonts w:ascii="Calibri" w:hAnsi="Calibri" w:cs="Calibri"/>
          <w:sz w:val="24"/>
          <w:szCs w:val="24"/>
        </w:rPr>
      </w:pPr>
      <w:r w:rsidRPr="00FC743A">
        <w:rPr>
          <w:rFonts w:ascii="Calibri" w:hAnsi="Calibri" w:cs="Calibri"/>
          <w:sz w:val="24"/>
          <w:szCs w:val="24"/>
        </w:rPr>
        <w:t>What is the proper process for an inter-agency reimbursement to DAS for software exceeding $100K annually for DOT?</w:t>
      </w:r>
    </w:p>
    <w:p w14:paraId="2E7FF673" w14:textId="7E1E64ED" w:rsidR="008A1429" w:rsidRDefault="008A1429" w:rsidP="002F1AA3">
      <w:pPr>
        <w:pStyle w:val="ListParagraph"/>
        <w:numPr>
          <w:ilvl w:val="0"/>
          <w:numId w:val="12"/>
        </w:numPr>
        <w:rPr>
          <w:rFonts w:ascii="Calibri" w:hAnsi="Calibri" w:cs="Calibri"/>
          <w:sz w:val="24"/>
          <w:szCs w:val="24"/>
        </w:rPr>
      </w:pPr>
      <w:r w:rsidRPr="00962E5E">
        <w:rPr>
          <w:rFonts w:ascii="Calibri" w:hAnsi="Calibri" w:cs="Calibri"/>
          <w:sz w:val="24"/>
          <w:szCs w:val="24"/>
        </w:rPr>
        <w:t>We have interagency Contracts which have been paid with a PO - should we use non-PO Vouchers now?</w:t>
      </w:r>
    </w:p>
    <w:p w14:paraId="7FB7EBE6" w14:textId="62C0273F" w:rsidR="00800D95" w:rsidRPr="00CA5504" w:rsidRDefault="00820E01" w:rsidP="002F1AA3">
      <w:pPr>
        <w:pStyle w:val="Heading1"/>
        <w:numPr>
          <w:ilvl w:val="0"/>
          <w:numId w:val="7"/>
        </w:numPr>
        <w15:collapsed/>
        <w:rPr>
          <w:rFonts w:ascii="Calibri" w:hAnsi="Calibri" w:cs="Calibri"/>
          <w:color w:val="auto"/>
          <w:sz w:val="32"/>
          <w:szCs w:val="32"/>
        </w:rPr>
      </w:pPr>
      <w:r w:rsidRPr="00CA5504">
        <w:rPr>
          <w:rFonts w:ascii="Calibri" w:hAnsi="Calibri" w:cs="Calibri"/>
          <w:color w:val="auto"/>
          <w:sz w:val="32"/>
          <w:szCs w:val="32"/>
        </w:rPr>
        <w:t>Inter-</w:t>
      </w:r>
      <w:r w:rsidR="00DE5D4F">
        <w:rPr>
          <w:rFonts w:ascii="Calibri" w:hAnsi="Calibri" w:cs="Calibri"/>
          <w:color w:val="auto"/>
          <w:sz w:val="32"/>
          <w:szCs w:val="32"/>
        </w:rPr>
        <w:t>A</w:t>
      </w:r>
      <w:r w:rsidRPr="00CA5504">
        <w:rPr>
          <w:rFonts w:ascii="Calibri" w:hAnsi="Calibri" w:cs="Calibri"/>
          <w:color w:val="auto"/>
          <w:sz w:val="32"/>
          <w:szCs w:val="32"/>
        </w:rPr>
        <w:t xml:space="preserve">gency </w:t>
      </w:r>
      <w:r w:rsidR="00DE5D4F">
        <w:rPr>
          <w:rFonts w:ascii="Calibri" w:hAnsi="Calibri" w:cs="Calibri"/>
          <w:color w:val="auto"/>
          <w:sz w:val="32"/>
          <w:szCs w:val="32"/>
        </w:rPr>
        <w:t>P</w:t>
      </w:r>
      <w:r w:rsidR="008077FA" w:rsidRPr="00CA5504">
        <w:rPr>
          <w:rFonts w:ascii="Calibri" w:hAnsi="Calibri" w:cs="Calibri"/>
          <w:color w:val="auto"/>
          <w:sz w:val="32"/>
          <w:szCs w:val="32"/>
        </w:rPr>
        <w:t>urchases</w:t>
      </w:r>
      <w:r w:rsidR="00F03F8E">
        <w:rPr>
          <w:rFonts w:ascii="Calibri" w:hAnsi="Calibri" w:cs="Calibri"/>
          <w:color w:val="auto"/>
          <w:sz w:val="32"/>
          <w:szCs w:val="32"/>
        </w:rPr>
        <w:t xml:space="preserve"> for Goods &amp; Services</w:t>
      </w:r>
    </w:p>
    <w:p w14:paraId="105CB2D3" w14:textId="5E149569" w:rsidR="00DE5D4F" w:rsidRPr="00CA5504" w:rsidRDefault="00DE5D4F" w:rsidP="001E6EB0">
      <w:pPr>
        <w:ind w:left="360"/>
        <w:rPr>
          <w:rFonts w:ascii="Calibri" w:hAnsi="Calibri" w:cs="Calibri"/>
          <w:sz w:val="24"/>
          <w:szCs w:val="24"/>
        </w:rPr>
      </w:pPr>
      <w:r w:rsidRPr="00FC743A">
        <w:rPr>
          <w:rFonts w:ascii="Calibri" w:hAnsi="Calibri" w:cs="Calibri"/>
          <w:color w:val="4F81BD" w:themeColor="accent1"/>
          <w:sz w:val="24"/>
          <w:szCs w:val="24"/>
        </w:rPr>
        <w:t>In</w:t>
      </w:r>
      <w:r w:rsidR="00B52670" w:rsidRPr="00FC743A">
        <w:rPr>
          <w:rFonts w:ascii="Calibri" w:hAnsi="Calibri" w:cs="Calibri"/>
          <w:color w:val="4F81BD" w:themeColor="accent1"/>
          <w:sz w:val="24"/>
          <w:szCs w:val="24"/>
        </w:rPr>
        <w:t>ter</w:t>
      </w:r>
      <w:r w:rsidRPr="00FC743A">
        <w:rPr>
          <w:rFonts w:ascii="Calibri" w:hAnsi="Calibri" w:cs="Calibri"/>
          <w:color w:val="4F81BD" w:themeColor="accent1"/>
          <w:sz w:val="24"/>
          <w:szCs w:val="24"/>
        </w:rPr>
        <w:t xml:space="preserve">-agency </w:t>
      </w:r>
      <w:r w:rsidR="00CA5504">
        <w:rPr>
          <w:rFonts w:ascii="Calibri" w:hAnsi="Calibri" w:cs="Calibri"/>
          <w:color w:val="4F81BD" w:themeColor="accent1"/>
          <w:sz w:val="24"/>
          <w:szCs w:val="24"/>
        </w:rPr>
        <w:t>purchases for goods</w:t>
      </w:r>
      <w:r w:rsidRPr="00FC743A">
        <w:rPr>
          <w:rFonts w:ascii="Calibri" w:hAnsi="Calibri" w:cs="Calibri"/>
          <w:color w:val="4F81BD" w:themeColor="accent1"/>
          <w:sz w:val="24"/>
          <w:szCs w:val="24"/>
        </w:rPr>
        <w:t xml:space="preserve"> and services are not authorized under GL71</w:t>
      </w:r>
      <w:r w:rsidR="001D2F89">
        <w:rPr>
          <w:rFonts w:ascii="Calibri" w:hAnsi="Calibri" w:cs="Calibri"/>
          <w:color w:val="4F81BD" w:themeColor="accent1"/>
          <w:sz w:val="24"/>
          <w:szCs w:val="24"/>
        </w:rPr>
        <w:t xml:space="preserve"> </w:t>
      </w:r>
      <w:r w:rsidR="00393FA9">
        <w:rPr>
          <w:rFonts w:ascii="Calibri" w:hAnsi="Calibri" w:cs="Calibri"/>
          <w:color w:val="4F81BD" w:themeColor="accent1"/>
          <w:sz w:val="24"/>
          <w:szCs w:val="24"/>
        </w:rPr>
        <w:t>except for</w:t>
      </w:r>
      <w:r w:rsidR="009E1526">
        <w:rPr>
          <w:rFonts w:ascii="Calibri" w:hAnsi="Calibri" w:cs="Calibri"/>
          <w:color w:val="4F81BD" w:themeColor="accent1"/>
          <w:sz w:val="24"/>
          <w:szCs w:val="24"/>
        </w:rPr>
        <w:t xml:space="preserve"> </w:t>
      </w:r>
      <w:r w:rsidR="001D2F89">
        <w:rPr>
          <w:rFonts w:ascii="Calibri" w:hAnsi="Calibri" w:cs="Calibri"/>
          <w:color w:val="4F81BD" w:themeColor="accent1"/>
          <w:sz w:val="24"/>
          <w:szCs w:val="24"/>
        </w:rPr>
        <w:t>the DAS Print Shop.</w:t>
      </w:r>
      <w:r w:rsidR="00393FA9">
        <w:rPr>
          <w:rFonts w:ascii="Calibri" w:hAnsi="Calibri" w:cs="Calibri"/>
          <w:color w:val="4F81BD" w:themeColor="accent1"/>
          <w:sz w:val="24"/>
          <w:szCs w:val="24"/>
        </w:rPr>
        <w:t xml:space="preserve"> Follow GL71a</w:t>
      </w:r>
      <w:r w:rsidR="00D45803">
        <w:rPr>
          <w:rFonts w:ascii="Calibri" w:hAnsi="Calibri" w:cs="Calibri"/>
          <w:color w:val="4F81BD" w:themeColor="accent1"/>
          <w:sz w:val="24"/>
          <w:szCs w:val="24"/>
        </w:rPr>
        <w:t xml:space="preserve"> or GL71b when making purchases </w:t>
      </w:r>
      <w:r w:rsidR="00051163">
        <w:rPr>
          <w:rFonts w:ascii="Calibri" w:hAnsi="Calibri" w:cs="Calibri"/>
          <w:color w:val="4F81BD" w:themeColor="accent1"/>
          <w:sz w:val="24"/>
          <w:szCs w:val="24"/>
        </w:rPr>
        <w:t>from</w:t>
      </w:r>
      <w:r w:rsidR="00D45803">
        <w:rPr>
          <w:rFonts w:ascii="Calibri" w:hAnsi="Calibri" w:cs="Calibri"/>
          <w:color w:val="4F81BD" w:themeColor="accent1"/>
          <w:sz w:val="24"/>
          <w:szCs w:val="24"/>
        </w:rPr>
        <w:t xml:space="preserve"> the Print Shop. </w:t>
      </w:r>
      <w:r w:rsidR="00353536" w:rsidRPr="00FC743A">
        <w:rPr>
          <w:rFonts w:ascii="Calibri" w:hAnsi="Calibri" w:cs="Calibri"/>
          <w:color w:val="4F81BD" w:themeColor="accent1"/>
          <w:sz w:val="24"/>
          <w:szCs w:val="24"/>
        </w:rPr>
        <w:t xml:space="preserve">Use </w:t>
      </w:r>
      <w:r w:rsidR="00353536">
        <w:rPr>
          <w:rFonts w:ascii="Calibri" w:hAnsi="Calibri" w:cs="Calibri"/>
          <w:color w:val="4F81BD" w:themeColor="accent1"/>
          <w:sz w:val="24"/>
          <w:szCs w:val="24"/>
        </w:rPr>
        <w:t xml:space="preserve">either </w:t>
      </w:r>
      <w:r w:rsidR="00353536" w:rsidRPr="00FC743A">
        <w:rPr>
          <w:rFonts w:ascii="Calibri" w:hAnsi="Calibri" w:cs="Calibri"/>
          <w:color w:val="4F81BD" w:themeColor="accent1"/>
          <w:sz w:val="24"/>
          <w:szCs w:val="24"/>
        </w:rPr>
        <w:t xml:space="preserve">a Non-PO Voucher or MOU agreement </w:t>
      </w:r>
      <w:r w:rsidR="00353536">
        <w:rPr>
          <w:rFonts w:ascii="Calibri" w:hAnsi="Calibri" w:cs="Calibri"/>
          <w:color w:val="4F81BD" w:themeColor="accent1"/>
          <w:sz w:val="24"/>
          <w:szCs w:val="24"/>
        </w:rPr>
        <w:t xml:space="preserve">by creating a procurement contract </w:t>
      </w:r>
      <w:r w:rsidR="00353536" w:rsidRPr="00FC743A">
        <w:rPr>
          <w:rFonts w:ascii="Calibri" w:hAnsi="Calibri" w:cs="Calibri"/>
          <w:color w:val="4F81BD" w:themeColor="accent1"/>
          <w:sz w:val="24"/>
          <w:szCs w:val="24"/>
        </w:rPr>
        <w:t xml:space="preserve">in Core-CT to process </w:t>
      </w:r>
      <w:r w:rsidR="00606E1D">
        <w:rPr>
          <w:rFonts w:ascii="Calibri" w:hAnsi="Calibri" w:cs="Calibri"/>
          <w:color w:val="4F81BD" w:themeColor="accent1"/>
          <w:sz w:val="24"/>
          <w:szCs w:val="24"/>
        </w:rPr>
        <w:t xml:space="preserve">purchases </w:t>
      </w:r>
      <w:r w:rsidR="00725736">
        <w:rPr>
          <w:rFonts w:ascii="Calibri" w:hAnsi="Calibri" w:cs="Calibri"/>
          <w:color w:val="4F81BD" w:themeColor="accent1"/>
          <w:sz w:val="24"/>
          <w:szCs w:val="24"/>
        </w:rPr>
        <w:t xml:space="preserve">related to </w:t>
      </w:r>
      <w:r w:rsidR="00606E1D">
        <w:rPr>
          <w:rFonts w:ascii="Calibri" w:hAnsi="Calibri" w:cs="Calibri"/>
          <w:color w:val="4F81BD" w:themeColor="accent1"/>
          <w:sz w:val="24"/>
          <w:szCs w:val="24"/>
        </w:rPr>
        <w:t>other inter-agency</w:t>
      </w:r>
      <w:r w:rsidR="00353536" w:rsidRPr="00FC743A">
        <w:rPr>
          <w:rFonts w:ascii="Calibri" w:hAnsi="Calibri" w:cs="Calibri"/>
          <w:color w:val="4F81BD" w:themeColor="accent1"/>
          <w:sz w:val="24"/>
          <w:szCs w:val="24"/>
        </w:rPr>
        <w:t xml:space="preserve"> transactions</w:t>
      </w:r>
      <w:r w:rsidR="00353536">
        <w:rPr>
          <w:rFonts w:ascii="Calibri" w:hAnsi="Calibri" w:cs="Calibri"/>
          <w:color w:val="4F81BD" w:themeColor="accent1"/>
          <w:sz w:val="24"/>
          <w:szCs w:val="24"/>
        </w:rPr>
        <w:t xml:space="preserve">. </w:t>
      </w:r>
      <w:r w:rsidR="00205C08">
        <w:rPr>
          <w:rFonts w:ascii="Calibri" w:hAnsi="Calibri" w:cs="Calibri"/>
          <w:color w:val="4F81BD" w:themeColor="accent1"/>
          <w:sz w:val="24"/>
          <w:szCs w:val="24"/>
        </w:rPr>
        <w:t xml:space="preserve">Note: Use the Correctional Enterprises of CT (CEC) Products and Services contract 16PSX0187AA as applicable. </w:t>
      </w:r>
      <w:r w:rsidRPr="00FC743A">
        <w:rPr>
          <w:rFonts w:ascii="Calibri" w:hAnsi="Calibri" w:cs="Calibri"/>
          <w:color w:val="4F81BD" w:themeColor="accent1"/>
          <w:sz w:val="24"/>
          <w:szCs w:val="24"/>
        </w:rPr>
        <w:t>This answers all questions noted below.</w:t>
      </w:r>
    </w:p>
    <w:p w14:paraId="3C918D9E" w14:textId="40D6ED5C" w:rsidR="00D87C5E" w:rsidRPr="00FC743A" w:rsidRDefault="000C27D2" w:rsidP="002F1AA3">
      <w:pPr>
        <w:pStyle w:val="ListParagraph"/>
        <w:numPr>
          <w:ilvl w:val="0"/>
          <w:numId w:val="19"/>
        </w:numPr>
        <w:rPr>
          <w:rFonts w:ascii="Calibri" w:hAnsi="Calibri" w:cs="Calibri"/>
          <w:sz w:val="24"/>
          <w:szCs w:val="24"/>
        </w:rPr>
      </w:pPr>
      <w:r w:rsidRPr="00FC743A">
        <w:rPr>
          <w:rFonts w:ascii="Calibri" w:hAnsi="Calibri" w:cs="Calibri"/>
          <w:sz w:val="24"/>
          <w:szCs w:val="24"/>
        </w:rPr>
        <w:t>How should we handle</w:t>
      </w:r>
      <w:r w:rsidR="00D87C5E" w:rsidRPr="00FC743A">
        <w:rPr>
          <w:rFonts w:ascii="Calibri" w:hAnsi="Calibri" w:cs="Calibri"/>
          <w:sz w:val="24"/>
          <w:szCs w:val="24"/>
        </w:rPr>
        <w:t xml:space="preserve"> services from DASS1 (example: </w:t>
      </w:r>
      <w:r w:rsidR="002B4259" w:rsidRPr="00FC743A">
        <w:rPr>
          <w:rFonts w:ascii="Calibri" w:hAnsi="Calibri" w:cs="Calibri"/>
          <w:sz w:val="24"/>
          <w:szCs w:val="24"/>
        </w:rPr>
        <w:t>printing</w:t>
      </w:r>
      <w:r w:rsidR="00D87C5E" w:rsidRPr="00FC743A">
        <w:rPr>
          <w:rFonts w:ascii="Calibri" w:hAnsi="Calibri" w:cs="Calibri"/>
          <w:sz w:val="24"/>
          <w:szCs w:val="24"/>
        </w:rPr>
        <w:t xml:space="preserve"> brochures, business cards)</w:t>
      </w:r>
      <w:r w:rsidR="00762674" w:rsidRPr="00FC743A">
        <w:rPr>
          <w:rFonts w:ascii="Calibri" w:hAnsi="Calibri" w:cs="Calibri"/>
          <w:sz w:val="24"/>
          <w:szCs w:val="24"/>
        </w:rPr>
        <w:t xml:space="preserve"> </w:t>
      </w:r>
      <w:r w:rsidR="0019746D" w:rsidRPr="00FC743A">
        <w:rPr>
          <w:rFonts w:ascii="Calibri" w:hAnsi="Calibri" w:cs="Calibri"/>
          <w:sz w:val="24"/>
          <w:szCs w:val="24"/>
        </w:rPr>
        <w:t xml:space="preserve">after 7/1/25 if budget staff </w:t>
      </w:r>
      <w:proofErr w:type="gramStart"/>
      <w:r w:rsidR="0019746D" w:rsidRPr="00FC743A">
        <w:rPr>
          <w:rFonts w:ascii="Calibri" w:hAnsi="Calibri" w:cs="Calibri"/>
          <w:sz w:val="24"/>
          <w:szCs w:val="24"/>
        </w:rPr>
        <w:t>is</w:t>
      </w:r>
      <w:proofErr w:type="gramEnd"/>
      <w:r w:rsidR="0019746D" w:rsidRPr="00FC743A">
        <w:rPr>
          <w:rFonts w:ascii="Calibri" w:hAnsi="Calibri" w:cs="Calibri"/>
          <w:sz w:val="24"/>
          <w:szCs w:val="24"/>
        </w:rPr>
        <w:t xml:space="preserve"> not included in the non-PO voucher process</w:t>
      </w:r>
      <w:r w:rsidR="006F146E" w:rsidRPr="00FC743A">
        <w:rPr>
          <w:rFonts w:ascii="Calibri" w:hAnsi="Calibri" w:cs="Calibri"/>
          <w:sz w:val="24"/>
          <w:szCs w:val="24"/>
        </w:rPr>
        <w:t>?</w:t>
      </w:r>
      <w:r w:rsidR="00D87C5E" w:rsidRPr="00FC743A">
        <w:rPr>
          <w:rFonts w:ascii="Calibri" w:hAnsi="Calibri" w:cs="Calibri"/>
          <w:sz w:val="24"/>
          <w:szCs w:val="24"/>
        </w:rPr>
        <w:t xml:space="preserve"> </w:t>
      </w:r>
    </w:p>
    <w:p w14:paraId="34074832" w14:textId="7A1120EC" w:rsidR="00F64BD1" w:rsidRPr="00FC743A" w:rsidRDefault="00E672C9" w:rsidP="002F1AA3">
      <w:pPr>
        <w:pStyle w:val="ListParagraph"/>
        <w:numPr>
          <w:ilvl w:val="0"/>
          <w:numId w:val="19"/>
        </w:numPr>
        <w:rPr>
          <w:rFonts w:ascii="Calibri" w:hAnsi="Calibri" w:cs="Calibri"/>
          <w:sz w:val="24"/>
          <w:szCs w:val="24"/>
        </w:rPr>
      </w:pPr>
      <w:r w:rsidRPr="00FC743A">
        <w:rPr>
          <w:rFonts w:ascii="Calibri" w:hAnsi="Calibri" w:cs="Calibri"/>
          <w:sz w:val="24"/>
          <w:szCs w:val="24"/>
        </w:rPr>
        <w:t>How should we handle</w:t>
      </w:r>
      <w:r w:rsidR="00D87C5E" w:rsidRPr="00FC743A">
        <w:rPr>
          <w:rFonts w:ascii="Calibri" w:hAnsi="Calibri" w:cs="Calibri"/>
          <w:sz w:val="24"/>
          <w:szCs w:val="24"/>
        </w:rPr>
        <w:t xml:space="preserve"> DASS1 </w:t>
      </w:r>
      <w:r w:rsidR="006051FD" w:rsidRPr="00FC743A">
        <w:rPr>
          <w:rFonts w:ascii="Calibri" w:hAnsi="Calibri" w:cs="Calibri"/>
          <w:sz w:val="24"/>
          <w:szCs w:val="24"/>
        </w:rPr>
        <w:t>P</w:t>
      </w:r>
      <w:r w:rsidR="00D87C5E" w:rsidRPr="00FC743A">
        <w:rPr>
          <w:rFonts w:ascii="Calibri" w:hAnsi="Calibri" w:cs="Calibri"/>
          <w:sz w:val="24"/>
          <w:szCs w:val="24"/>
        </w:rPr>
        <w:t xml:space="preserve">rint </w:t>
      </w:r>
      <w:r w:rsidR="006051FD" w:rsidRPr="00FC743A">
        <w:rPr>
          <w:rFonts w:ascii="Calibri" w:hAnsi="Calibri" w:cs="Calibri"/>
          <w:sz w:val="24"/>
          <w:szCs w:val="24"/>
        </w:rPr>
        <w:t xml:space="preserve">Shop </w:t>
      </w:r>
      <w:r w:rsidR="00D87C5E" w:rsidRPr="00FC743A">
        <w:rPr>
          <w:rFonts w:ascii="Calibri" w:hAnsi="Calibri" w:cs="Calibri"/>
          <w:sz w:val="24"/>
          <w:szCs w:val="24"/>
        </w:rPr>
        <w:t xml:space="preserve">and </w:t>
      </w:r>
      <w:r w:rsidR="006051FD" w:rsidRPr="00FC743A">
        <w:rPr>
          <w:rFonts w:ascii="Calibri" w:hAnsi="Calibri" w:cs="Calibri"/>
          <w:sz w:val="24"/>
          <w:szCs w:val="24"/>
        </w:rPr>
        <w:t>V</w:t>
      </w:r>
      <w:r w:rsidR="00D87C5E" w:rsidRPr="00FC743A">
        <w:rPr>
          <w:rFonts w:ascii="Calibri" w:hAnsi="Calibri" w:cs="Calibri"/>
          <w:sz w:val="24"/>
          <w:szCs w:val="24"/>
        </w:rPr>
        <w:t xml:space="preserve">ehicle </w:t>
      </w:r>
      <w:r w:rsidR="006051FD" w:rsidRPr="00FC743A">
        <w:rPr>
          <w:rFonts w:ascii="Calibri" w:hAnsi="Calibri" w:cs="Calibri"/>
          <w:sz w:val="24"/>
          <w:szCs w:val="24"/>
        </w:rPr>
        <w:t>R</w:t>
      </w:r>
      <w:r w:rsidR="00D87C5E" w:rsidRPr="00FC743A">
        <w:rPr>
          <w:rFonts w:ascii="Calibri" w:hAnsi="Calibri" w:cs="Calibri"/>
          <w:sz w:val="24"/>
          <w:szCs w:val="24"/>
        </w:rPr>
        <w:t>epairs?</w:t>
      </w:r>
    </w:p>
    <w:p w14:paraId="0E6C213A" w14:textId="27869157" w:rsidR="00800647" w:rsidRPr="00FC743A" w:rsidRDefault="00800647" w:rsidP="002F1AA3">
      <w:pPr>
        <w:pStyle w:val="Heading1"/>
        <w:numPr>
          <w:ilvl w:val="0"/>
          <w:numId w:val="7"/>
        </w:numPr>
        <w15:collapsed/>
        <w:rPr>
          <w:rFonts w:ascii="Calibri" w:hAnsi="Calibri" w:cs="Calibri"/>
          <w:color w:val="auto"/>
          <w:sz w:val="32"/>
          <w:szCs w:val="32"/>
        </w:rPr>
      </w:pPr>
      <w:r w:rsidRPr="00FC743A">
        <w:rPr>
          <w:rFonts w:ascii="Calibri" w:hAnsi="Calibri" w:cs="Calibri"/>
          <w:color w:val="auto"/>
          <w:sz w:val="32"/>
          <w:szCs w:val="32"/>
        </w:rPr>
        <w:t>Recurring Purchases</w:t>
      </w:r>
    </w:p>
    <w:p w14:paraId="20CCF49F" w14:textId="7464D2C0" w:rsidR="0043564E" w:rsidRPr="00FC743A" w:rsidRDefault="00FB3F9C" w:rsidP="00C41C7C">
      <w:pPr>
        <w:ind w:left="360"/>
        <w:rPr>
          <w:rFonts w:ascii="Calibri" w:hAnsi="Calibri" w:cs="Calibri"/>
          <w:color w:val="4F81BD" w:themeColor="accent1"/>
          <w:sz w:val="24"/>
          <w:szCs w:val="24"/>
        </w:rPr>
      </w:pPr>
      <w:r>
        <w:rPr>
          <w:rFonts w:ascii="Calibri" w:hAnsi="Calibri" w:cs="Calibri"/>
          <w:color w:val="4F81BD" w:themeColor="accent1"/>
          <w:sz w:val="24"/>
          <w:szCs w:val="24"/>
        </w:rPr>
        <w:t>I</w:t>
      </w:r>
      <w:r w:rsidR="004D0BEA" w:rsidRPr="00FC743A">
        <w:rPr>
          <w:rFonts w:ascii="Calibri" w:hAnsi="Calibri" w:cs="Calibri"/>
          <w:color w:val="4F81BD" w:themeColor="accent1"/>
          <w:sz w:val="24"/>
          <w:szCs w:val="24"/>
        </w:rPr>
        <w:t>f no active statewide DAS contract exists, recurring purchases</w:t>
      </w:r>
      <w:r w:rsidR="00D75A95">
        <w:rPr>
          <w:rFonts w:ascii="Calibri" w:hAnsi="Calibri" w:cs="Calibri"/>
          <w:color w:val="4F81BD" w:themeColor="accent1"/>
          <w:sz w:val="24"/>
          <w:szCs w:val="24"/>
        </w:rPr>
        <w:t xml:space="preserve"> of $25K or less when performance is to be completed within 1 year fall under GL71</w:t>
      </w:r>
      <w:proofErr w:type="gramStart"/>
      <w:r w:rsidR="00D75A95">
        <w:rPr>
          <w:rFonts w:ascii="Calibri" w:hAnsi="Calibri" w:cs="Calibri"/>
          <w:color w:val="4F81BD" w:themeColor="accent1"/>
          <w:sz w:val="24"/>
          <w:szCs w:val="24"/>
        </w:rPr>
        <w:t>a.ii</w:t>
      </w:r>
      <w:r w:rsidR="00FE179D">
        <w:rPr>
          <w:rFonts w:ascii="Calibri" w:hAnsi="Calibri" w:cs="Calibri"/>
          <w:color w:val="4F81BD" w:themeColor="accent1"/>
          <w:sz w:val="24"/>
          <w:szCs w:val="24"/>
        </w:rPr>
        <w:t>.</w:t>
      </w:r>
      <w:proofErr w:type="gramEnd"/>
      <w:r w:rsidR="00FE179D">
        <w:rPr>
          <w:rFonts w:ascii="Calibri" w:hAnsi="Calibri" w:cs="Calibri"/>
          <w:color w:val="4F81BD" w:themeColor="accent1"/>
          <w:sz w:val="24"/>
          <w:szCs w:val="24"/>
        </w:rPr>
        <w:t xml:space="preserve"> Recurring purchases </w:t>
      </w:r>
      <w:r w:rsidR="002715E9">
        <w:rPr>
          <w:rFonts w:ascii="Calibri" w:hAnsi="Calibri" w:cs="Calibri"/>
          <w:color w:val="4F81BD" w:themeColor="accent1"/>
          <w:sz w:val="24"/>
          <w:szCs w:val="24"/>
        </w:rPr>
        <w:t>across multiple years fall</w:t>
      </w:r>
      <w:r w:rsidR="004D0BEA" w:rsidRPr="00FC743A">
        <w:rPr>
          <w:rFonts w:ascii="Calibri" w:hAnsi="Calibri" w:cs="Calibri"/>
          <w:color w:val="4F81BD" w:themeColor="accent1"/>
          <w:sz w:val="24"/>
          <w:szCs w:val="24"/>
        </w:rPr>
        <w:t xml:space="preserve"> under GL71b </w:t>
      </w:r>
      <w:r w:rsidR="00C03A2C">
        <w:rPr>
          <w:rFonts w:ascii="Calibri" w:hAnsi="Calibri" w:cs="Calibri"/>
          <w:color w:val="4F81BD" w:themeColor="accent1"/>
          <w:sz w:val="24"/>
          <w:szCs w:val="24"/>
        </w:rPr>
        <w:t xml:space="preserve">and </w:t>
      </w:r>
      <w:r w:rsidR="004D0BEA" w:rsidRPr="00FC743A">
        <w:rPr>
          <w:rFonts w:ascii="Calibri" w:hAnsi="Calibri" w:cs="Calibri"/>
          <w:color w:val="4F81BD" w:themeColor="accent1"/>
          <w:sz w:val="24"/>
          <w:szCs w:val="24"/>
        </w:rPr>
        <w:t xml:space="preserve">should be solicited through written quotes or a bid process, </w:t>
      </w:r>
      <w:r w:rsidR="004D2E04">
        <w:rPr>
          <w:rFonts w:ascii="Calibri" w:hAnsi="Calibri" w:cs="Calibri"/>
          <w:color w:val="4F81BD" w:themeColor="accent1"/>
          <w:sz w:val="24"/>
          <w:szCs w:val="24"/>
        </w:rPr>
        <w:t>where possible and</w:t>
      </w:r>
      <w:r w:rsidR="004D0BEA" w:rsidRPr="00FC743A">
        <w:rPr>
          <w:rFonts w:ascii="Calibri" w:hAnsi="Calibri" w:cs="Calibri"/>
          <w:color w:val="4F81BD" w:themeColor="accent1"/>
          <w:sz w:val="24"/>
          <w:szCs w:val="24"/>
        </w:rPr>
        <w:t xml:space="preserve"> practical. </w:t>
      </w:r>
      <w:r w:rsidR="00880860" w:rsidRPr="00FC743A">
        <w:rPr>
          <w:rFonts w:ascii="Calibri" w:hAnsi="Calibri" w:cs="Calibri"/>
          <w:color w:val="4F81BD" w:themeColor="accent1"/>
          <w:sz w:val="24"/>
          <w:szCs w:val="24"/>
        </w:rPr>
        <w:t>This answers all questions noted below</w:t>
      </w:r>
      <w:r w:rsidR="009602CC" w:rsidRPr="00FC743A">
        <w:rPr>
          <w:rFonts w:ascii="Calibri" w:hAnsi="Calibri" w:cs="Calibri"/>
          <w:color w:val="4F81BD" w:themeColor="accent1"/>
          <w:sz w:val="24"/>
          <w:szCs w:val="24"/>
        </w:rPr>
        <w:t>.</w:t>
      </w:r>
    </w:p>
    <w:p w14:paraId="71D14A8E" w14:textId="59CF9727" w:rsidR="0043564E" w:rsidRPr="00FC743A" w:rsidRDefault="00A01A89" w:rsidP="002F1AA3">
      <w:pPr>
        <w:pStyle w:val="ListParagraph"/>
        <w:numPr>
          <w:ilvl w:val="0"/>
          <w:numId w:val="13"/>
        </w:numPr>
        <w:rPr>
          <w:rFonts w:ascii="Calibri" w:hAnsi="Calibri" w:cs="Calibri"/>
          <w:sz w:val="24"/>
          <w:szCs w:val="24"/>
        </w:rPr>
      </w:pPr>
      <w:r w:rsidRPr="00FC743A">
        <w:rPr>
          <w:rFonts w:ascii="Calibri" w:hAnsi="Calibri" w:cs="Calibri"/>
          <w:sz w:val="24"/>
          <w:szCs w:val="24"/>
        </w:rPr>
        <w:t>How should recurring POs (RPOs) essential to daily operations, like those for Vehicle Maintenance, be managed if they are closed?</w:t>
      </w:r>
    </w:p>
    <w:p w14:paraId="000CA3E9" w14:textId="59E879B2" w:rsidR="00FC4B25" w:rsidRPr="00FC743A" w:rsidRDefault="00D300AD" w:rsidP="002F1AA3">
      <w:pPr>
        <w:pStyle w:val="ListParagraph"/>
        <w:numPr>
          <w:ilvl w:val="0"/>
          <w:numId w:val="13"/>
        </w:numPr>
        <w:rPr>
          <w:rFonts w:ascii="Calibri" w:hAnsi="Calibri" w:cs="Calibri"/>
          <w:sz w:val="24"/>
          <w:szCs w:val="24"/>
        </w:rPr>
      </w:pPr>
      <w:r w:rsidRPr="00FC743A">
        <w:rPr>
          <w:rFonts w:ascii="Calibri" w:hAnsi="Calibri" w:cs="Calibri"/>
          <w:sz w:val="24"/>
          <w:szCs w:val="24"/>
        </w:rPr>
        <w:t xml:space="preserve">If Vehicle Maintenance lacks a </w:t>
      </w:r>
      <w:proofErr w:type="spellStart"/>
      <w:r w:rsidRPr="00FC743A">
        <w:rPr>
          <w:rFonts w:ascii="Calibri" w:hAnsi="Calibri" w:cs="Calibri"/>
          <w:sz w:val="24"/>
          <w:szCs w:val="24"/>
        </w:rPr>
        <w:t>PCard</w:t>
      </w:r>
      <w:proofErr w:type="spellEnd"/>
      <w:r w:rsidRPr="00FC743A">
        <w:rPr>
          <w:rFonts w:ascii="Calibri" w:hAnsi="Calibri" w:cs="Calibri"/>
          <w:sz w:val="24"/>
          <w:szCs w:val="24"/>
        </w:rPr>
        <w:t>, how should urgent purchases be handled without RPOs to avoid service delays?</w:t>
      </w:r>
    </w:p>
    <w:p w14:paraId="69CB76BF" w14:textId="6A0280A5" w:rsidR="00FC4B25" w:rsidRPr="00FC743A" w:rsidRDefault="004E5330" w:rsidP="002F1AA3">
      <w:pPr>
        <w:pStyle w:val="ListParagraph"/>
        <w:numPr>
          <w:ilvl w:val="0"/>
          <w:numId w:val="13"/>
        </w:numPr>
        <w:rPr>
          <w:rFonts w:ascii="Calibri" w:hAnsi="Calibri" w:cs="Calibri"/>
          <w:sz w:val="24"/>
          <w:szCs w:val="24"/>
        </w:rPr>
      </w:pPr>
      <w:r w:rsidRPr="00FC743A">
        <w:rPr>
          <w:rFonts w:ascii="Calibri" w:hAnsi="Calibri" w:cs="Calibri"/>
          <w:sz w:val="24"/>
          <w:szCs w:val="24"/>
        </w:rPr>
        <w:t>How will emergency transportation for students with disabilities be handled if costs exceed the GL71A threshold and require bids?</w:t>
      </w:r>
    </w:p>
    <w:p w14:paraId="4427CB2A" w14:textId="79815A53" w:rsidR="002E6CE1" w:rsidRDefault="0043564E" w:rsidP="002F1AA3">
      <w:pPr>
        <w:pStyle w:val="ListParagraph"/>
        <w:numPr>
          <w:ilvl w:val="0"/>
          <w:numId w:val="13"/>
        </w:numPr>
        <w:rPr>
          <w:rFonts w:ascii="Calibri" w:hAnsi="Calibri" w:cs="Calibri"/>
          <w:sz w:val="24"/>
          <w:szCs w:val="24"/>
        </w:rPr>
      </w:pPr>
      <w:r w:rsidRPr="00FC743A">
        <w:rPr>
          <w:rFonts w:ascii="Calibri" w:hAnsi="Calibri" w:cs="Calibri"/>
          <w:sz w:val="24"/>
          <w:szCs w:val="24"/>
        </w:rPr>
        <w:t xml:space="preserve">Is a three-year contract for services, at less than $5K per year, considered a minor </w:t>
      </w:r>
      <w:proofErr w:type="gramStart"/>
      <w:r w:rsidRPr="00FC743A">
        <w:rPr>
          <w:rFonts w:ascii="Calibri" w:hAnsi="Calibri" w:cs="Calibri"/>
          <w:sz w:val="24"/>
          <w:szCs w:val="24"/>
        </w:rPr>
        <w:t>nonrecurring</w:t>
      </w:r>
      <w:proofErr w:type="gramEnd"/>
      <w:r w:rsidRPr="00FC743A">
        <w:rPr>
          <w:rFonts w:ascii="Calibri" w:hAnsi="Calibri" w:cs="Calibri"/>
          <w:sz w:val="24"/>
          <w:szCs w:val="24"/>
        </w:rPr>
        <w:t xml:space="preserve"> purchase?</w:t>
      </w:r>
    </w:p>
    <w:p w14:paraId="7D3757FD" w14:textId="5296E93E" w:rsidR="009406E6" w:rsidRDefault="00EC7D27" w:rsidP="00B06D2A">
      <w:pPr>
        <w:pStyle w:val="Heading1"/>
        <w:numPr>
          <w:ilvl w:val="0"/>
          <w:numId w:val="7"/>
        </w:numPr>
        <w15:collapsed/>
        <w:rPr>
          <w:rFonts w:ascii="Calibri" w:hAnsi="Calibri" w:cs="Calibri"/>
          <w:color w:val="auto"/>
          <w:sz w:val="32"/>
          <w:szCs w:val="32"/>
        </w:rPr>
      </w:pPr>
      <w:r>
        <w:rPr>
          <w:rFonts w:ascii="Calibri" w:hAnsi="Calibri" w:cs="Calibri"/>
          <w:color w:val="auto"/>
          <w:sz w:val="32"/>
          <w:szCs w:val="32"/>
        </w:rPr>
        <w:t>Training</w:t>
      </w:r>
      <w:r w:rsidR="001A55E0">
        <w:rPr>
          <w:rFonts w:ascii="Calibri" w:hAnsi="Calibri" w:cs="Calibri"/>
          <w:color w:val="auto"/>
          <w:sz w:val="32"/>
          <w:szCs w:val="32"/>
        </w:rPr>
        <w:t xml:space="preserve"> and Professional Development</w:t>
      </w:r>
    </w:p>
    <w:p w14:paraId="173C4966" w14:textId="77777777" w:rsidR="00B06D2A" w:rsidRPr="00E7539F" w:rsidRDefault="00B06D2A" w:rsidP="00E7539F">
      <w:pPr>
        <w:pStyle w:val="ListParagraph"/>
        <w:numPr>
          <w:ilvl w:val="0"/>
          <w:numId w:val="29"/>
        </w:numPr>
        <w:rPr>
          <w:rFonts w:ascii="Calibri" w:hAnsi="Calibri" w:cs="Calibri"/>
          <w:sz w:val="24"/>
          <w:szCs w:val="24"/>
        </w:rPr>
      </w:pPr>
      <w:r w:rsidRPr="00E7539F">
        <w:rPr>
          <w:rFonts w:ascii="Calibri" w:hAnsi="Calibri" w:cs="Calibri"/>
          <w:sz w:val="24"/>
          <w:szCs w:val="24"/>
        </w:rPr>
        <w:t>Employee training used to be GLD. Can we use GL71A for training &lt; $25,000?</w:t>
      </w:r>
    </w:p>
    <w:p w14:paraId="7ED88E57" w14:textId="77777777" w:rsidR="00B06D2A" w:rsidRPr="006804F3" w:rsidRDefault="00B06D2A" w:rsidP="00B06D2A">
      <w:pPr>
        <w:pStyle w:val="ListParagraph"/>
        <w:rPr>
          <w:rFonts w:ascii="Calibri" w:hAnsi="Calibri" w:cs="Calibri"/>
          <w:color w:val="4F81BD" w:themeColor="accent1"/>
          <w:sz w:val="24"/>
          <w:szCs w:val="24"/>
        </w:rPr>
      </w:pPr>
      <w:r w:rsidRPr="006804F3">
        <w:rPr>
          <w:rFonts w:ascii="Calibri" w:hAnsi="Calibri" w:cs="Calibri"/>
          <w:color w:val="4F81BD" w:themeColor="accent1"/>
          <w:sz w:val="24"/>
          <w:szCs w:val="24"/>
        </w:rPr>
        <w:t xml:space="preserve">Buying training courses like </w:t>
      </w:r>
      <w:proofErr w:type="spellStart"/>
      <w:r w:rsidRPr="006804F3">
        <w:rPr>
          <w:rFonts w:ascii="Calibri" w:hAnsi="Calibri" w:cs="Calibri"/>
          <w:color w:val="4F81BD" w:themeColor="accent1"/>
          <w:sz w:val="24"/>
          <w:szCs w:val="24"/>
        </w:rPr>
        <w:t>Skillpath</w:t>
      </w:r>
      <w:proofErr w:type="spellEnd"/>
      <w:r w:rsidRPr="006804F3">
        <w:rPr>
          <w:rFonts w:ascii="Calibri" w:hAnsi="Calibri" w:cs="Calibri"/>
          <w:color w:val="4F81BD" w:themeColor="accent1"/>
          <w:sz w:val="24"/>
          <w:szCs w:val="24"/>
        </w:rPr>
        <w:t xml:space="preserve">, etc., should fall under GL71a. If over $25K, the purchase may fall under OPM as a PSA; verify with your agency’s Chief Financial Officer. If it does not qualify as a PSA, obtain quotes where practical and use GL71b. </w:t>
      </w:r>
    </w:p>
    <w:p w14:paraId="54D999F6" w14:textId="77777777" w:rsidR="00B06D2A" w:rsidRPr="006804F3" w:rsidRDefault="00B06D2A" w:rsidP="00B06D2A">
      <w:pPr>
        <w:pStyle w:val="ListParagraph"/>
        <w:rPr>
          <w:rFonts w:ascii="Calibri" w:hAnsi="Calibri" w:cs="Calibri"/>
          <w:color w:val="4F81BD" w:themeColor="accent1"/>
          <w:sz w:val="24"/>
          <w:szCs w:val="24"/>
        </w:rPr>
      </w:pPr>
    </w:p>
    <w:p w14:paraId="3AF46409" w14:textId="77777777" w:rsidR="00B06D2A" w:rsidRPr="006804F3" w:rsidRDefault="00B06D2A" w:rsidP="00B06D2A">
      <w:pPr>
        <w:pStyle w:val="ListParagraph"/>
        <w:rPr>
          <w:rFonts w:ascii="Calibri" w:hAnsi="Calibri" w:cs="Calibri"/>
          <w:color w:val="4F81BD" w:themeColor="accent1"/>
          <w:sz w:val="24"/>
          <w:szCs w:val="24"/>
        </w:rPr>
      </w:pPr>
      <w:r w:rsidRPr="006804F3">
        <w:rPr>
          <w:rFonts w:ascii="Calibri" w:hAnsi="Calibri" w:cs="Calibri"/>
          <w:color w:val="4F81BD" w:themeColor="accent1"/>
          <w:sz w:val="24"/>
          <w:szCs w:val="24"/>
        </w:rPr>
        <w:t xml:space="preserve">Use GL71b for recurring training. Depending on how regular it is, how many people require the certifications, and the size of the expense, you may want to have a larger contract in place, in which case DAS Procurement would be more than happy to help. </w:t>
      </w:r>
    </w:p>
    <w:p w14:paraId="56DCF0FD" w14:textId="5BEA0CB7" w:rsidR="00B06D2A" w:rsidRDefault="00B06D2A" w:rsidP="00FE3ED0">
      <w:pPr>
        <w:ind w:left="720"/>
        <w:rPr>
          <w:rFonts w:ascii="Calibri" w:hAnsi="Calibri" w:cs="Calibri"/>
          <w:color w:val="4F81BD" w:themeColor="accent1"/>
          <w:sz w:val="24"/>
          <w:szCs w:val="24"/>
        </w:rPr>
      </w:pPr>
      <w:r w:rsidRPr="006804F3">
        <w:rPr>
          <w:rFonts w:ascii="Calibri" w:hAnsi="Calibri" w:cs="Calibri"/>
          <w:color w:val="4F81BD" w:themeColor="accent1"/>
          <w:sz w:val="24"/>
          <w:szCs w:val="24"/>
        </w:rPr>
        <w:t>If the purchase is for professional development, it may fall under OPM as a PSA. Professional development training that is narrowly tailored with a set criterion for a particular program (i.e., DESPP training) should be reviewed on a case-by-case basis.</w:t>
      </w:r>
    </w:p>
    <w:p w14:paraId="6AC739E7" w14:textId="77777777" w:rsidR="00FE3ED0" w:rsidRPr="00757C14" w:rsidRDefault="00FE3ED0" w:rsidP="00FE3ED0">
      <w:pPr>
        <w:pStyle w:val="ListParagraph"/>
        <w:numPr>
          <w:ilvl w:val="0"/>
          <w:numId w:val="29"/>
        </w:numPr>
      </w:pPr>
      <w:r w:rsidRPr="00FE3ED0">
        <w:rPr>
          <w:rFonts w:ascii="Calibri" w:hAnsi="Calibri" w:cs="Calibri"/>
          <w:sz w:val="24"/>
          <w:szCs w:val="24"/>
        </w:rPr>
        <w:t>How will professional development that is unplanned and time-sensitive, like active shooter</w:t>
      </w:r>
      <w:r w:rsidRPr="000B108D">
        <w:rPr>
          <w:rFonts w:ascii="Calibri" w:hAnsi="Calibri" w:cs="Calibri"/>
          <w:sz w:val="24"/>
          <w:szCs w:val="24"/>
        </w:rPr>
        <w:t xml:space="preserve"> training, be handled without GL71D?</w:t>
      </w:r>
      <w:r w:rsidRPr="000B108D">
        <w:rPr>
          <w:rFonts w:ascii="Calibri" w:hAnsi="Calibri" w:cs="Calibri"/>
          <w:sz w:val="24"/>
          <w:szCs w:val="24"/>
        </w:rPr>
        <w:br/>
      </w:r>
      <w:r w:rsidRPr="000B108D">
        <w:rPr>
          <w:rFonts w:ascii="Calibri" w:hAnsi="Calibri" w:cs="Calibri"/>
          <w:color w:val="4F81BD" w:themeColor="accent1"/>
          <w:sz w:val="24"/>
          <w:szCs w:val="24"/>
        </w:rPr>
        <w:t>Professional Development requires a PSA regardless of timing.</w:t>
      </w:r>
    </w:p>
    <w:p w14:paraId="3C947940" w14:textId="7D875EDC" w:rsidR="00FE3ED0" w:rsidRPr="000B108D" w:rsidRDefault="00FE3ED0" w:rsidP="00A1121D">
      <w:pPr>
        <w:pStyle w:val="ListParagraph"/>
        <w:numPr>
          <w:ilvl w:val="0"/>
          <w:numId w:val="29"/>
        </w:numPr>
      </w:pPr>
      <w:r w:rsidRPr="000B108D">
        <w:rPr>
          <w:rFonts w:ascii="Calibri" w:hAnsi="Calibri" w:cs="Calibri"/>
          <w:sz w:val="24"/>
          <w:szCs w:val="24"/>
        </w:rPr>
        <w:t>What is the purchasing process for dues, fees, tuitions, honorariums, sponsorships, and mentorships previously covered under GL71D?</w:t>
      </w:r>
      <w:r w:rsidRPr="000B108D">
        <w:rPr>
          <w:rFonts w:ascii="Calibri" w:hAnsi="Calibri" w:cs="Calibri"/>
          <w:sz w:val="24"/>
          <w:szCs w:val="24"/>
        </w:rPr>
        <w:br/>
      </w:r>
      <w:r w:rsidRPr="000B108D">
        <w:rPr>
          <w:rFonts w:ascii="Calibri" w:hAnsi="Calibri" w:cs="Calibri"/>
          <w:color w:val="4F81BD" w:themeColor="accent1"/>
          <w:sz w:val="24"/>
          <w:szCs w:val="24"/>
        </w:rPr>
        <w:t>Agencies must review their statutory authority and consult legal counsel as needed. When creating your PO, select the purchasing authority CGS and reference the applicable statute in the header comment.</w:t>
      </w:r>
    </w:p>
    <w:p w14:paraId="4A59A21C" w14:textId="7C0D44FA" w:rsidR="00CF338D" w:rsidRDefault="00CF338D" w:rsidP="002F1AA3">
      <w:pPr>
        <w:pStyle w:val="Heading1"/>
        <w:numPr>
          <w:ilvl w:val="0"/>
          <w:numId w:val="7"/>
        </w:numPr>
        <w15:collapsed/>
        <w:rPr>
          <w:rFonts w:ascii="Calibri" w:hAnsi="Calibri" w:cs="Calibri"/>
          <w:color w:val="auto"/>
          <w:sz w:val="32"/>
          <w:szCs w:val="32"/>
        </w:rPr>
      </w:pPr>
      <w:r>
        <w:rPr>
          <w:rFonts w:ascii="Calibri" w:hAnsi="Calibri" w:cs="Calibri"/>
          <w:color w:val="auto"/>
          <w:sz w:val="32"/>
          <w:szCs w:val="32"/>
        </w:rPr>
        <w:t>Postage</w:t>
      </w:r>
    </w:p>
    <w:p w14:paraId="08731F41" w14:textId="50EF960B" w:rsidR="00782694" w:rsidRDefault="00340C98" w:rsidP="00BD0EA1">
      <w:pPr>
        <w:ind w:left="720"/>
        <w:rPr>
          <w:rFonts w:ascii="Calibri" w:hAnsi="Calibri" w:cs="Calibri"/>
          <w:color w:val="4F81BD" w:themeColor="accent1"/>
          <w:sz w:val="24"/>
          <w:szCs w:val="24"/>
        </w:rPr>
      </w:pPr>
      <w:r w:rsidRPr="0056086A">
        <w:rPr>
          <w:rFonts w:ascii="Calibri" w:hAnsi="Calibri" w:cs="Calibri"/>
          <w:color w:val="4F81BD" w:themeColor="accent1"/>
          <w:sz w:val="24"/>
          <w:szCs w:val="24"/>
        </w:rPr>
        <w:t xml:space="preserve">Postage </w:t>
      </w:r>
      <w:r w:rsidR="00411054" w:rsidRPr="0056086A">
        <w:rPr>
          <w:rFonts w:ascii="Calibri" w:hAnsi="Calibri" w:cs="Calibri"/>
          <w:color w:val="4F81BD" w:themeColor="accent1"/>
          <w:sz w:val="24"/>
          <w:szCs w:val="24"/>
        </w:rPr>
        <w:t>purchase postage</w:t>
      </w:r>
      <w:r w:rsidR="00411054">
        <w:rPr>
          <w:rFonts w:ascii="Calibri" w:hAnsi="Calibri" w:cs="Calibri"/>
          <w:color w:val="4F81BD" w:themeColor="accent1"/>
          <w:sz w:val="24"/>
          <w:szCs w:val="24"/>
        </w:rPr>
        <w:t xml:space="preserve"> from FedEx, UPS, USPS</w:t>
      </w:r>
      <w:r w:rsidRPr="0056086A">
        <w:rPr>
          <w:rFonts w:ascii="Calibri" w:hAnsi="Calibri" w:cs="Calibri"/>
          <w:color w:val="4F81BD" w:themeColor="accent1"/>
          <w:sz w:val="24"/>
          <w:szCs w:val="24"/>
        </w:rPr>
        <w:t xml:space="preserve"> are not authorized under GL71. In Core-CT, use a Non-PO Voucher</w:t>
      </w:r>
      <w:r>
        <w:rPr>
          <w:rFonts w:ascii="Calibri" w:hAnsi="Calibri" w:cs="Calibri"/>
          <w:color w:val="4F81BD" w:themeColor="accent1"/>
          <w:sz w:val="24"/>
          <w:szCs w:val="24"/>
        </w:rPr>
        <w:t>.</w:t>
      </w:r>
      <w:r w:rsidR="007D5634">
        <w:rPr>
          <w:rFonts w:ascii="Calibri" w:hAnsi="Calibri" w:cs="Calibri"/>
          <w:color w:val="4F81BD" w:themeColor="accent1"/>
          <w:sz w:val="24"/>
          <w:szCs w:val="24"/>
        </w:rPr>
        <w:t xml:space="preserve"> Other </w:t>
      </w:r>
      <w:r w:rsidR="00B24A7D">
        <w:rPr>
          <w:rFonts w:ascii="Calibri" w:hAnsi="Calibri" w:cs="Calibri"/>
          <w:color w:val="4F81BD" w:themeColor="accent1"/>
          <w:sz w:val="24"/>
          <w:szCs w:val="24"/>
        </w:rPr>
        <w:t>postage</w:t>
      </w:r>
      <w:r w:rsidR="00806763">
        <w:rPr>
          <w:rFonts w:ascii="Calibri" w:hAnsi="Calibri" w:cs="Calibri"/>
          <w:color w:val="4F81BD" w:themeColor="accent1"/>
          <w:sz w:val="24"/>
          <w:szCs w:val="24"/>
        </w:rPr>
        <w:t xml:space="preserve"> transactions</w:t>
      </w:r>
      <w:r w:rsidR="00B24A7D">
        <w:rPr>
          <w:rFonts w:ascii="Calibri" w:hAnsi="Calibri" w:cs="Calibri"/>
          <w:color w:val="4F81BD" w:themeColor="accent1"/>
          <w:sz w:val="24"/>
          <w:szCs w:val="24"/>
        </w:rPr>
        <w:t xml:space="preserve"> will</w:t>
      </w:r>
      <w:r w:rsidR="00806763">
        <w:rPr>
          <w:rFonts w:ascii="Calibri" w:hAnsi="Calibri" w:cs="Calibri"/>
          <w:color w:val="4F81BD" w:themeColor="accent1"/>
          <w:sz w:val="24"/>
          <w:szCs w:val="24"/>
        </w:rPr>
        <w:t xml:space="preserve"> either reference </w:t>
      </w:r>
      <w:r w:rsidR="00765852">
        <w:rPr>
          <w:rFonts w:ascii="Calibri" w:hAnsi="Calibri" w:cs="Calibri"/>
          <w:color w:val="4F81BD" w:themeColor="accent1"/>
          <w:sz w:val="24"/>
          <w:szCs w:val="24"/>
        </w:rPr>
        <w:t>the applicable contract or</w:t>
      </w:r>
      <w:r w:rsidR="00806763">
        <w:rPr>
          <w:rFonts w:ascii="Calibri" w:hAnsi="Calibri" w:cs="Calibri"/>
          <w:color w:val="4F81BD" w:themeColor="accent1"/>
          <w:sz w:val="24"/>
          <w:szCs w:val="24"/>
        </w:rPr>
        <w:t xml:space="preserve"> follow GL71a or GL71b.</w:t>
      </w:r>
      <w:r w:rsidR="000B7AB5">
        <w:rPr>
          <w:rFonts w:ascii="Calibri" w:hAnsi="Calibri" w:cs="Calibri"/>
          <w:color w:val="4F81BD" w:themeColor="accent1"/>
          <w:sz w:val="24"/>
          <w:szCs w:val="24"/>
        </w:rPr>
        <w:t xml:space="preserve"> </w:t>
      </w:r>
      <w:r w:rsidR="000B7AB5" w:rsidRPr="00C77370">
        <w:rPr>
          <w:rFonts w:ascii="Calibri" w:hAnsi="Calibri" w:cs="Calibri"/>
          <w:color w:val="4F81BD" w:themeColor="accent1"/>
          <w:sz w:val="24"/>
          <w:szCs w:val="24"/>
        </w:rPr>
        <w:t xml:space="preserve">This answers </w:t>
      </w:r>
      <w:r w:rsidR="00284142">
        <w:rPr>
          <w:rFonts w:ascii="Calibri" w:hAnsi="Calibri" w:cs="Calibri"/>
          <w:color w:val="4F81BD" w:themeColor="accent1"/>
          <w:sz w:val="24"/>
          <w:szCs w:val="24"/>
        </w:rPr>
        <w:t>all</w:t>
      </w:r>
      <w:r w:rsidR="000B7AB5" w:rsidRPr="00C77370">
        <w:rPr>
          <w:rFonts w:ascii="Calibri" w:hAnsi="Calibri" w:cs="Calibri"/>
          <w:color w:val="4F81BD" w:themeColor="accent1"/>
          <w:sz w:val="24"/>
          <w:szCs w:val="24"/>
        </w:rPr>
        <w:t xml:space="preserve"> questions noted below</w:t>
      </w:r>
      <w:r w:rsidR="00284142">
        <w:rPr>
          <w:rFonts w:ascii="Calibri" w:hAnsi="Calibri" w:cs="Calibri"/>
          <w:color w:val="4F81BD" w:themeColor="accent1"/>
          <w:sz w:val="24"/>
          <w:szCs w:val="24"/>
        </w:rPr>
        <w:t>, see additional details listed</w:t>
      </w:r>
      <w:r w:rsidR="000B7AB5" w:rsidRPr="00C77370">
        <w:rPr>
          <w:rFonts w:ascii="Calibri" w:hAnsi="Calibri" w:cs="Calibri"/>
          <w:color w:val="4F81BD" w:themeColor="accent1"/>
          <w:sz w:val="24"/>
          <w:szCs w:val="24"/>
        </w:rPr>
        <w:t>.</w:t>
      </w:r>
    </w:p>
    <w:p w14:paraId="2EB6264E" w14:textId="77777777" w:rsidR="00340C98" w:rsidRPr="0056086A" w:rsidRDefault="00340C98" w:rsidP="002F1AA3">
      <w:pPr>
        <w:pStyle w:val="ListParagraph"/>
        <w:numPr>
          <w:ilvl w:val="0"/>
          <w:numId w:val="21"/>
        </w:numPr>
        <w:ind w:left="1080"/>
        <w:rPr>
          <w:rFonts w:ascii="Calibri" w:hAnsi="Calibri" w:cs="Calibri"/>
          <w:sz w:val="24"/>
          <w:szCs w:val="24"/>
        </w:rPr>
      </w:pPr>
      <w:r w:rsidRPr="0056086A">
        <w:rPr>
          <w:rFonts w:ascii="Calibri" w:hAnsi="Calibri" w:cs="Calibri"/>
          <w:sz w:val="24"/>
          <w:szCs w:val="24"/>
        </w:rPr>
        <w:t>How should purchases for postage, previously handled under GL71D, be managed moving forward?</w:t>
      </w:r>
    </w:p>
    <w:p w14:paraId="7D2C1C55" w14:textId="1CEC125F" w:rsidR="00782694" w:rsidRDefault="00B42527" w:rsidP="002F1AA3">
      <w:pPr>
        <w:pStyle w:val="ListParagraph"/>
        <w:numPr>
          <w:ilvl w:val="0"/>
          <w:numId w:val="21"/>
        </w:numPr>
        <w:ind w:left="1080"/>
        <w:rPr>
          <w:rFonts w:ascii="Calibri" w:hAnsi="Calibri" w:cs="Calibri"/>
          <w:sz w:val="24"/>
          <w:szCs w:val="24"/>
        </w:rPr>
      </w:pPr>
      <w:r w:rsidRPr="00340C98">
        <w:rPr>
          <w:rFonts w:ascii="Calibri" w:hAnsi="Calibri" w:cs="Calibri"/>
          <w:sz w:val="24"/>
          <w:szCs w:val="24"/>
        </w:rPr>
        <w:t>Postage = non-PO voucher. If an agency is going to make payments to state agencies via contract (MOU/MOA) and are reimbursing an agency (DAS) for postage, would this still be done on a non-PO voucher and not a contract?</w:t>
      </w:r>
    </w:p>
    <w:p w14:paraId="51732612" w14:textId="57134213" w:rsidR="006F246F" w:rsidRDefault="006F246F" w:rsidP="002F1AA3">
      <w:pPr>
        <w:pStyle w:val="ListParagraph"/>
        <w:numPr>
          <w:ilvl w:val="0"/>
          <w:numId w:val="21"/>
        </w:numPr>
        <w:ind w:left="1080"/>
        <w:rPr>
          <w:rFonts w:ascii="Calibri" w:hAnsi="Calibri" w:cs="Calibri"/>
          <w:sz w:val="24"/>
          <w:szCs w:val="24"/>
        </w:rPr>
      </w:pPr>
      <w:r w:rsidRPr="008E78BC">
        <w:rPr>
          <w:rFonts w:ascii="Calibri" w:hAnsi="Calibri" w:cs="Calibri"/>
          <w:sz w:val="24"/>
          <w:szCs w:val="24"/>
        </w:rPr>
        <w:t xml:space="preserve">US Postal Services purchases will be processed by non-PO </w:t>
      </w:r>
      <w:proofErr w:type="gramStart"/>
      <w:r w:rsidRPr="008E78BC">
        <w:rPr>
          <w:rFonts w:ascii="Calibri" w:hAnsi="Calibri" w:cs="Calibri"/>
          <w:sz w:val="24"/>
          <w:szCs w:val="24"/>
        </w:rPr>
        <w:t>voucher</w:t>
      </w:r>
      <w:proofErr w:type="gramEnd"/>
      <w:r w:rsidRPr="008E78BC">
        <w:rPr>
          <w:rFonts w:ascii="Calibri" w:hAnsi="Calibri" w:cs="Calibri"/>
          <w:sz w:val="24"/>
          <w:szCs w:val="24"/>
        </w:rPr>
        <w:t>; how should annual maintenance/permits for the business reply mail be processed</w:t>
      </w:r>
      <w:r>
        <w:rPr>
          <w:rFonts w:ascii="Calibri" w:hAnsi="Calibri" w:cs="Calibri"/>
          <w:sz w:val="24"/>
          <w:szCs w:val="24"/>
        </w:rPr>
        <w:t>?</w:t>
      </w:r>
    </w:p>
    <w:p w14:paraId="18A70218" w14:textId="77777777" w:rsidR="001A0179" w:rsidRPr="00050E5B" w:rsidRDefault="001A0179" w:rsidP="001A0179">
      <w:pPr>
        <w:pStyle w:val="ListParagraph"/>
        <w:spacing w:line="240" w:lineRule="auto"/>
        <w:ind w:left="1080"/>
        <w:rPr>
          <w:rFonts w:ascii="Calibri" w:hAnsi="Calibri" w:cs="Calibri"/>
          <w:color w:val="4F81BD" w:themeColor="accent1"/>
          <w:sz w:val="24"/>
          <w:szCs w:val="24"/>
        </w:rPr>
      </w:pPr>
      <w:r w:rsidRPr="00050E5B">
        <w:rPr>
          <w:rFonts w:ascii="Calibri" w:hAnsi="Calibri" w:cs="Calibri"/>
          <w:color w:val="4F81BD" w:themeColor="accent1"/>
          <w:sz w:val="24"/>
          <w:szCs w:val="24"/>
        </w:rPr>
        <w:t>For annual maintenance or permit fees related to Business Reply Mail, payments should be processed either:</w:t>
      </w:r>
    </w:p>
    <w:p w14:paraId="3F774C10" w14:textId="5C46770C" w:rsidR="001A0179" w:rsidRPr="00050E5B" w:rsidRDefault="001A0179" w:rsidP="00E660D8">
      <w:pPr>
        <w:pStyle w:val="ListParagraph"/>
        <w:numPr>
          <w:ilvl w:val="0"/>
          <w:numId w:val="37"/>
        </w:numPr>
        <w:spacing w:after="160" w:line="240" w:lineRule="auto"/>
        <w:ind w:left="1440"/>
        <w:rPr>
          <w:rFonts w:ascii="Calibri" w:hAnsi="Calibri" w:cs="Calibri"/>
          <w:color w:val="4F81BD" w:themeColor="accent1"/>
          <w:sz w:val="24"/>
          <w:szCs w:val="24"/>
        </w:rPr>
      </w:pPr>
      <w:r w:rsidRPr="00050E5B">
        <w:rPr>
          <w:rFonts w:ascii="Calibri" w:hAnsi="Calibri" w:cs="Calibri"/>
          <w:color w:val="4F81BD" w:themeColor="accent1"/>
          <w:sz w:val="24"/>
          <w:szCs w:val="24"/>
        </w:rPr>
        <w:t>Through an existing contract, if one is available</w:t>
      </w:r>
      <w:r w:rsidR="004D2B7E" w:rsidRPr="00050E5B">
        <w:rPr>
          <w:rFonts w:ascii="Calibri" w:hAnsi="Calibri" w:cs="Calibri"/>
          <w:color w:val="4F81BD" w:themeColor="accent1"/>
          <w:sz w:val="24"/>
          <w:szCs w:val="24"/>
        </w:rPr>
        <w:t xml:space="preserve"> </w:t>
      </w:r>
      <w:r w:rsidR="004D2B7E" w:rsidRPr="00050E5B">
        <w:rPr>
          <w:rFonts w:ascii="Calibri" w:hAnsi="Calibri" w:cs="Calibri"/>
          <w:color w:val="4F81BD" w:themeColor="accent1"/>
          <w:sz w:val="24"/>
          <w:szCs w:val="24"/>
        </w:rPr>
        <w:t>(e.g., 21PSX0082)</w:t>
      </w:r>
      <w:r w:rsidRPr="00050E5B">
        <w:rPr>
          <w:rFonts w:ascii="Calibri" w:hAnsi="Calibri" w:cs="Calibri"/>
          <w:color w:val="4F81BD" w:themeColor="accent1"/>
          <w:sz w:val="24"/>
          <w:szCs w:val="24"/>
        </w:rPr>
        <w:t>, or</w:t>
      </w:r>
      <w:r w:rsidRPr="00050E5B">
        <w:rPr>
          <w:rFonts w:ascii="Calibri" w:hAnsi="Calibri" w:cs="Calibri"/>
          <w:color w:val="4F81BD" w:themeColor="accent1"/>
          <w:sz w:val="24"/>
          <w:szCs w:val="24"/>
        </w:rPr>
        <w:t xml:space="preserve"> </w:t>
      </w:r>
    </w:p>
    <w:p w14:paraId="2F0FADC5" w14:textId="435C1AA7" w:rsidR="00C24D6B" w:rsidRPr="00050E5B" w:rsidRDefault="001A0179" w:rsidP="00E660D8">
      <w:pPr>
        <w:pStyle w:val="ListParagraph"/>
        <w:numPr>
          <w:ilvl w:val="0"/>
          <w:numId w:val="37"/>
        </w:numPr>
        <w:spacing w:after="160" w:line="240" w:lineRule="auto"/>
        <w:ind w:left="1440"/>
        <w:rPr>
          <w:rFonts w:ascii="Calibri" w:hAnsi="Calibri" w:cs="Calibri"/>
          <w:color w:val="4F81BD" w:themeColor="accent1"/>
          <w:sz w:val="24"/>
          <w:szCs w:val="24"/>
        </w:rPr>
      </w:pPr>
      <w:r w:rsidRPr="00050E5B">
        <w:rPr>
          <w:rFonts w:ascii="Calibri" w:hAnsi="Calibri" w:cs="Calibri"/>
          <w:color w:val="4F81BD" w:themeColor="accent1"/>
          <w:sz w:val="24"/>
          <w:szCs w:val="24"/>
        </w:rPr>
        <w:t>In accordance with the GL71 procurement policy, based on the applicable dollar threshold.</w:t>
      </w:r>
    </w:p>
    <w:p w14:paraId="7DC7D7C0" w14:textId="0302AD13" w:rsidR="00DA3597" w:rsidRDefault="00215C95" w:rsidP="002F1AA3">
      <w:pPr>
        <w:pStyle w:val="ListParagraph"/>
        <w:numPr>
          <w:ilvl w:val="0"/>
          <w:numId w:val="21"/>
        </w:numPr>
        <w:ind w:left="1080"/>
        <w:rPr>
          <w:rFonts w:ascii="Calibri" w:hAnsi="Calibri" w:cs="Calibri"/>
          <w:sz w:val="24"/>
          <w:szCs w:val="24"/>
        </w:rPr>
      </w:pPr>
      <w:r w:rsidRPr="008E78BC">
        <w:rPr>
          <w:rFonts w:ascii="Calibri" w:hAnsi="Calibri" w:cs="Calibri"/>
          <w:sz w:val="24"/>
          <w:szCs w:val="24"/>
        </w:rPr>
        <w:t>Does FedEx or UPS count as postage</w:t>
      </w:r>
      <w:r>
        <w:rPr>
          <w:rFonts w:ascii="Calibri" w:hAnsi="Calibri" w:cs="Calibri"/>
          <w:sz w:val="24"/>
          <w:szCs w:val="24"/>
        </w:rPr>
        <w:t>?</w:t>
      </w:r>
    </w:p>
    <w:p w14:paraId="6C2EDE3B" w14:textId="01D0776E" w:rsidR="008175F1" w:rsidRPr="00050E5B" w:rsidRDefault="00C24D6B" w:rsidP="00050E5B">
      <w:pPr>
        <w:pStyle w:val="ListParagraph"/>
        <w:spacing w:line="240" w:lineRule="auto"/>
        <w:ind w:left="1080"/>
        <w:rPr>
          <w:rFonts w:ascii="Calibri" w:hAnsi="Calibri" w:cs="Calibri"/>
          <w:color w:val="4F81BD" w:themeColor="accent1"/>
          <w:sz w:val="24"/>
          <w:szCs w:val="24"/>
        </w:rPr>
      </w:pPr>
      <w:r w:rsidRPr="00050E5B">
        <w:rPr>
          <w:rFonts w:ascii="Calibri" w:hAnsi="Calibri" w:cs="Calibri"/>
          <w:color w:val="4F81BD" w:themeColor="accent1"/>
          <w:sz w:val="24"/>
          <w:szCs w:val="24"/>
        </w:rPr>
        <w:t xml:space="preserve">Yes, the transaction should be processed using a non-PO voucher, unless there is an applicable contract in place, such as the existing small parcel shipping contract (21PSX0164). Other </w:t>
      </w:r>
      <w:r w:rsidR="00E660D8" w:rsidRPr="00050E5B">
        <w:rPr>
          <w:rFonts w:ascii="Calibri" w:hAnsi="Calibri" w:cs="Calibri"/>
          <w:color w:val="4F81BD" w:themeColor="accent1"/>
          <w:sz w:val="24"/>
          <w:szCs w:val="24"/>
        </w:rPr>
        <w:t>p</w:t>
      </w:r>
      <w:r w:rsidRPr="00050E5B">
        <w:rPr>
          <w:rFonts w:ascii="Calibri" w:hAnsi="Calibri" w:cs="Calibri"/>
          <w:color w:val="4F81BD" w:themeColor="accent1"/>
          <w:sz w:val="24"/>
          <w:szCs w:val="24"/>
        </w:rPr>
        <w:t>rivate shipping services, like DHL, do not qualify as postage and the applicable procurement authority would be determined under GL71a, based on the dollar value of the transaction</w:t>
      </w:r>
      <w:r w:rsidRPr="00050E5B">
        <w:rPr>
          <w:rFonts w:ascii="Calibri" w:hAnsi="Calibri" w:cs="Calibri"/>
          <w:color w:val="4F81BD" w:themeColor="accent1"/>
          <w:sz w:val="24"/>
          <w:szCs w:val="24"/>
        </w:rPr>
        <w:t>.</w:t>
      </w:r>
    </w:p>
    <w:p w14:paraId="628A7FD9" w14:textId="15C8D351" w:rsidR="00C63018" w:rsidRPr="00C3110F" w:rsidRDefault="00C63018" w:rsidP="002F1AA3">
      <w:pPr>
        <w:pStyle w:val="Heading1"/>
        <w:numPr>
          <w:ilvl w:val="0"/>
          <w:numId w:val="7"/>
        </w:numPr>
        <w15:collapsed/>
        <w:rPr>
          <w:rFonts w:ascii="Calibri" w:hAnsi="Calibri" w:cs="Calibri"/>
          <w:color w:val="auto"/>
          <w:sz w:val="32"/>
          <w:szCs w:val="32"/>
        </w:rPr>
      </w:pPr>
      <w:r w:rsidRPr="00C3110F">
        <w:rPr>
          <w:rFonts w:ascii="Calibri" w:hAnsi="Calibri" w:cs="Calibri"/>
          <w:color w:val="auto"/>
          <w:sz w:val="32"/>
          <w:szCs w:val="32"/>
        </w:rPr>
        <w:lastRenderedPageBreak/>
        <w:t>Real Property - Rent/Lease</w:t>
      </w:r>
    </w:p>
    <w:p w14:paraId="5ECE371C" w14:textId="2F756934" w:rsidR="007E31AE" w:rsidRPr="00C77370" w:rsidRDefault="00140678" w:rsidP="00A0138D">
      <w:pPr>
        <w:ind w:left="720"/>
        <w:rPr>
          <w:rFonts w:ascii="Calibri" w:hAnsi="Calibri" w:cs="Calibri"/>
          <w:color w:val="4F81BD" w:themeColor="accent1"/>
          <w:sz w:val="24"/>
          <w:szCs w:val="24"/>
        </w:rPr>
      </w:pPr>
      <w:r w:rsidRPr="00C77370">
        <w:rPr>
          <w:rFonts w:ascii="Calibri" w:hAnsi="Calibri" w:cs="Calibri"/>
          <w:color w:val="4F81BD" w:themeColor="accent1"/>
          <w:sz w:val="24"/>
          <w:szCs w:val="24"/>
        </w:rPr>
        <w:t>Real property transactions are not authorized under GL71. In Core-CT, process payments under the rent/lease agreement by creating a Procurement Contract with the contract type '</w:t>
      </w:r>
      <w:proofErr w:type="spellStart"/>
      <w:r w:rsidRPr="00C77370">
        <w:rPr>
          <w:rFonts w:ascii="Calibri" w:hAnsi="Calibri" w:cs="Calibri"/>
          <w:color w:val="4F81BD" w:themeColor="accent1"/>
          <w:sz w:val="24"/>
          <w:szCs w:val="24"/>
        </w:rPr>
        <w:t>Rntl</w:t>
      </w:r>
      <w:proofErr w:type="spellEnd"/>
      <w:r w:rsidRPr="00C77370">
        <w:rPr>
          <w:rFonts w:ascii="Calibri" w:hAnsi="Calibri" w:cs="Calibri"/>
          <w:color w:val="4F81BD" w:themeColor="accent1"/>
          <w:sz w:val="24"/>
          <w:szCs w:val="24"/>
        </w:rPr>
        <w:t xml:space="preserve"> Lease - Rental Lease'.</w:t>
      </w:r>
      <w:r w:rsidR="00917BDB" w:rsidRPr="00C77370">
        <w:rPr>
          <w:rFonts w:ascii="Calibri" w:hAnsi="Calibri" w:cs="Calibri"/>
          <w:color w:val="4F81BD" w:themeColor="accent1"/>
          <w:sz w:val="24"/>
          <w:szCs w:val="24"/>
        </w:rPr>
        <w:t xml:space="preserve"> </w:t>
      </w:r>
      <w:bookmarkStart w:id="1" w:name="_Hlk197631485"/>
      <w:r w:rsidR="0041371D" w:rsidRPr="00C77370">
        <w:rPr>
          <w:rFonts w:ascii="Calibri" w:hAnsi="Calibri" w:cs="Calibri"/>
          <w:color w:val="4F81BD" w:themeColor="accent1"/>
          <w:sz w:val="24"/>
          <w:szCs w:val="24"/>
        </w:rPr>
        <w:t>This answers all questions noted below</w:t>
      </w:r>
      <w:r w:rsidR="00917BDB" w:rsidRPr="00C77370">
        <w:rPr>
          <w:rFonts w:ascii="Calibri" w:hAnsi="Calibri" w:cs="Calibri"/>
          <w:color w:val="4F81BD" w:themeColor="accent1"/>
          <w:sz w:val="24"/>
          <w:szCs w:val="24"/>
        </w:rPr>
        <w:t>.</w:t>
      </w:r>
      <w:bookmarkEnd w:id="1"/>
      <w:r w:rsidR="00917BDB" w:rsidRPr="00C77370">
        <w:rPr>
          <w:rFonts w:ascii="Calibri" w:hAnsi="Calibri" w:cs="Calibri"/>
          <w:color w:val="4F81BD" w:themeColor="accent1"/>
          <w:sz w:val="24"/>
          <w:szCs w:val="24"/>
        </w:rPr>
        <w:t xml:space="preserve"> </w:t>
      </w:r>
    </w:p>
    <w:p w14:paraId="0550408F" w14:textId="19539734" w:rsidR="000E4448" w:rsidRPr="00C77370" w:rsidRDefault="00BD6D30" w:rsidP="002F1AA3">
      <w:pPr>
        <w:pStyle w:val="ListParagraph"/>
        <w:numPr>
          <w:ilvl w:val="0"/>
          <w:numId w:val="14"/>
        </w:numPr>
        <w:ind w:left="1080"/>
        <w:rPr>
          <w:rFonts w:ascii="Calibri" w:hAnsi="Calibri" w:cs="Calibri"/>
          <w:sz w:val="24"/>
          <w:szCs w:val="24"/>
        </w:rPr>
      </w:pPr>
      <w:r w:rsidRPr="00C77370">
        <w:rPr>
          <w:rFonts w:ascii="Calibri" w:hAnsi="Calibri" w:cs="Calibri"/>
          <w:sz w:val="24"/>
          <w:szCs w:val="24"/>
        </w:rPr>
        <w:t>How should pass-through payments to landlords, including utility reimbursements for leased buildings, be handled?</w:t>
      </w:r>
    </w:p>
    <w:p w14:paraId="32C73CC3" w14:textId="77777777" w:rsidR="00FE7C8C" w:rsidRPr="00C77370" w:rsidRDefault="00590B70" w:rsidP="002F1AA3">
      <w:pPr>
        <w:pStyle w:val="ListParagraph"/>
        <w:numPr>
          <w:ilvl w:val="0"/>
          <w:numId w:val="14"/>
        </w:numPr>
        <w:ind w:left="1080"/>
        <w:rPr>
          <w:rFonts w:ascii="Calibri" w:hAnsi="Calibri" w:cs="Calibri"/>
          <w:sz w:val="24"/>
          <w:szCs w:val="24"/>
        </w:rPr>
      </w:pPr>
      <w:r w:rsidRPr="00C77370">
        <w:rPr>
          <w:rFonts w:ascii="Calibri" w:hAnsi="Calibri" w:cs="Calibri"/>
          <w:sz w:val="24"/>
          <w:szCs w:val="24"/>
        </w:rPr>
        <w:t>Will rent payments tied to DOL contracts remain acceptable for processing after 6/30/25?</w:t>
      </w:r>
    </w:p>
    <w:p w14:paraId="395C22BD" w14:textId="4C5AB664" w:rsidR="00FE7C8C" w:rsidRPr="00C77370" w:rsidRDefault="00FE7C8C" w:rsidP="002F1AA3">
      <w:pPr>
        <w:pStyle w:val="ListParagraph"/>
        <w:numPr>
          <w:ilvl w:val="0"/>
          <w:numId w:val="14"/>
        </w:numPr>
        <w:ind w:left="1080"/>
        <w:rPr>
          <w:rFonts w:ascii="Calibri" w:hAnsi="Calibri" w:cs="Calibri"/>
          <w:sz w:val="24"/>
          <w:szCs w:val="24"/>
        </w:rPr>
      </w:pPr>
      <w:r w:rsidRPr="00C77370">
        <w:rPr>
          <w:rFonts w:ascii="Calibri" w:hAnsi="Calibri" w:cs="Calibri"/>
          <w:sz w:val="24"/>
          <w:szCs w:val="24"/>
        </w:rPr>
        <w:t>For multi-year leases, are agencies expected to re-issue purchase orders each year, or will there be blanket purchase orders for the entire lease period?</w:t>
      </w:r>
    </w:p>
    <w:p w14:paraId="6EAAF8F7" w14:textId="0FFAC716" w:rsidR="007621F5" w:rsidRPr="00C77370" w:rsidRDefault="007621F5" w:rsidP="002F1AA3">
      <w:pPr>
        <w:pStyle w:val="Heading1"/>
        <w:numPr>
          <w:ilvl w:val="0"/>
          <w:numId w:val="7"/>
        </w:numPr>
        <w15:collapsed/>
        <w:rPr>
          <w:rFonts w:ascii="Calibri" w:hAnsi="Calibri" w:cs="Calibri"/>
          <w:color w:val="auto"/>
          <w:sz w:val="32"/>
          <w:szCs w:val="32"/>
        </w:rPr>
      </w:pPr>
      <w:r w:rsidRPr="00C77370">
        <w:rPr>
          <w:rFonts w:ascii="Calibri" w:hAnsi="Calibri" w:cs="Calibri"/>
          <w:color w:val="auto"/>
          <w:sz w:val="32"/>
          <w:szCs w:val="32"/>
        </w:rPr>
        <w:t>Sponsorships</w:t>
      </w:r>
    </w:p>
    <w:p w14:paraId="241E21FA" w14:textId="7C7B026B" w:rsidR="00F64BD1" w:rsidRPr="00D861F6" w:rsidRDefault="00023B3B" w:rsidP="00A55F57">
      <w:pPr>
        <w:ind w:left="720"/>
        <w:rPr>
          <w:rFonts w:ascii="Calibri" w:hAnsi="Calibri" w:cs="Calibri"/>
          <w:color w:val="4F81BD" w:themeColor="accent1"/>
          <w:sz w:val="24"/>
          <w:szCs w:val="24"/>
        </w:rPr>
      </w:pPr>
      <w:r w:rsidRPr="00D861F6">
        <w:rPr>
          <w:rFonts w:ascii="Calibri" w:hAnsi="Calibri" w:cs="Calibri"/>
          <w:color w:val="4F81BD" w:themeColor="accent1"/>
          <w:sz w:val="24"/>
          <w:szCs w:val="24"/>
        </w:rPr>
        <w:t>Sponsorships are not authorized under GL71. Agencies must review their statutory authority and consult legal counsel as needed.</w:t>
      </w:r>
      <w:r w:rsidR="00BE440B" w:rsidRPr="00D861F6">
        <w:rPr>
          <w:rFonts w:ascii="Calibri" w:hAnsi="Calibri" w:cs="Calibri"/>
          <w:color w:val="4F81BD" w:themeColor="accent1"/>
          <w:sz w:val="24"/>
          <w:szCs w:val="24"/>
        </w:rPr>
        <w:t xml:space="preserve"> </w:t>
      </w:r>
      <w:r w:rsidR="00057FF5">
        <w:rPr>
          <w:rFonts w:ascii="Calibri" w:hAnsi="Calibri" w:cs="Calibri"/>
          <w:color w:val="4F81BD" w:themeColor="accent1"/>
          <w:sz w:val="24"/>
          <w:szCs w:val="24"/>
        </w:rPr>
        <w:t>When creating your PO</w:t>
      </w:r>
      <w:r w:rsidR="00811018">
        <w:rPr>
          <w:rFonts w:ascii="Calibri" w:hAnsi="Calibri" w:cs="Calibri"/>
          <w:color w:val="4F81BD" w:themeColor="accent1"/>
          <w:sz w:val="24"/>
          <w:szCs w:val="24"/>
        </w:rPr>
        <w:t>,</w:t>
      </w:r>
      <w:r w:rsidR="00057FF5">
        <w:rPr>
          <w:rFonts w:ascii="Calibri" w:hAnsi="Calibri" w:cs="Calibri"/>
          <w:color w:val="4F81BD" w:themeColor="accent1"/>
          <w:sz w:val="24"/>
          <w:szCs w:val="24"/>
        </w:rPr>
        <w:t xml:space="preserve"> select the purchasing authority CGS</w:t>
      </w:r>
      <w:r w:rsidR="00811018">
        <w:rPr>
          <w:rFonts w:ascii="Calibri" w:hAnsi="Calibri" w:cs="Calibri"/>
          <w:color w:val="4F81BD" w:themeColor="accent1"/>
          <w:sz w:val="24"/>
          <w:szCs w:val="24"/>
        </w:rPr>
        <w:t xml:space="preserve"> and reference the applicable statute in the header comment. </w:t>
      </w:r>
      <w:r w:rsidR="0041371D" w:rsidRPr="00D861F6">
        <w:rPr>
          <w:rFonts w:ascii="Calibri" w:hAnsi="Calibri" w:cs="Calibri"/>
          <w:color w:val="4F81BD" w:themeColor="accent1"/>
          <w:sz w:val="24"/>
          <w:szCs w:val="24"/>
        </w:rPr>
        <w:t>This answers all questions noted below</w:t>
      </w:r>
      <w:r w:rsidR="00BF19BA" w:rsidRPr="00D861F6">
        <w:rPr>
          <w:rFonts w:ascii="Calibri" w:hAnsi="Calibri" w:cs="Calibri"/>
          <w:color w:val="4F81BD" w:themeColor="accent1"/>
          <w:sz w:val="24"/>
          <w:szCs w:val="24"/>
        </w:rPr>
        <w:t>.</w:t>
      </w:r>
    </w:p>
    <w:p w14:paraId="69B4154A" w14:textId="4C30005D" w:rsidR="00950E9D" w:rsidRPr="00D861F6" w:rsidRDefault="00565111" w:rsidP="002F1AA3">
      <w:pPr>
        <w:pStyle w:val="ListParagraph"/>
        <w:numPr>
          <w:ilvl w:val="0"/>
          <w:numId w:val="15"/>
        </w:numPr>
        <w:rPr>
          <w:rFonts w:ascii="Calibri" w:hAnsi="Calibri" w:cs="Calibri"/>
          <w:sz w:val="24"/>
          <w:szCs w:val="24"/>
        </w:rPr>
      </w:pPr>
      <w:r w:rsidRPr="00D861F6">
        <w:rPr>
          <w:rFonts w:ascii="Calibri" w:hAnsi="Calibri" w:cs="Calibri"/>
          <w:sz w:val="24"/>
          <w:szCs w:val="24"/>
        </w:rPr>
        <w:t>How should sponsorships over $100K be handled moving forward?</w:t>
      </w:r>
    </w:p>
    <w:p w14:paraId="330A378E" w14:textId="6F4B7A57" w:rsidR="00F64BD1" w:rsidRPr="00D861F6" w:rsidRDefault="007D3284" w:rsidP="002F1AA3">
      <w:pPr>
        <w:pStyle w:val="ListParagraph"/>
        <w:numPr>
          <w:ilvl w:val="0"/>
          <w:numId w:val="15"/>
        </w:numPr>
        <w:rPr>
          <w:rFonts w:ascii="Calibri" w:hAnsi="Calibri" w:cs="Calibri"/>
          <w:sz w:val="24"/>
          <w:szCs w:val="24"/>
        </w:rPr>
      </w:pPr>
      <w:r w:rsidRPr="00D861F6">
        <w:rPr>
          <w:rFonts w:ascii="Calibri" w:hAnsi="Calibri" w:cs="Calibri"/>
          <w:sz w:val="24"/>
          <w:szCs w:val="24"/>
        </w:rPr>
        <w:t>How will DECD handle sponsorships for events over the GL71B $100K limit, given they are not competitive?</w:t>
      </w:r>
    </w:p>
    <w:p w14:paraId="7D1D6BE2" w14:textId="2DE7991A" w:rsidR="00C63018" w:rsidRPr="00C77370" w:rsidRDefault="005F5CFE" w:rsidP="002F1AA3">
      <w:pPr>
        <w:pStyle w:val="Heading1"/>
        <w:numPr>
          <w:ilvl w:val="0"/>
          <w:numId w:val="7"/>
        </w:numPr>
        <w15:collapsed/>
        <w:rPr>
          <w:rFonts w:ascii="Calibri" w:hAnsi="Calibri" w:cs="Calibri"/>
          <w:color w:val="auto"/>
          <w:sz w:val="32"/>
          <w:szCs w:val="32"/>
        </w:rPr>
      </w:pPr>
      <w:r>
        <w:rPr>
          <w:rFonts w:ascii="Calibri" w:hAnsi="Calibri" w:cs="Calibri"/>
          <w:color w:val="auto"/>
          <w:sz w:val="32"/>
          <w:szCs w:val="32"/>
        </w:rPr>
        <w:t xml:space="preserve">Software </w:t>
      </w:r>
      <w:r w:rsidR="00C63018" w:rsidRPr="00C77370">
        <w:rPr>
          <w:rFonts w:ascii="Calibri" w:hAnsi="Calibri" w:cs="Calibri"/>
          <w:color w:val="auto"/>
          <w:sz w:val="32"/>
          <w:szCs w:val="32"/>
        </w:rPr>
        <w:t>Subscriptions</w:t>
      </w:r>
      <w:r w:rsidR="00FF4878">
        <w:rPr>
          <w:rFonts w:ascii="Calibri" w:hAnsi="Calibri" w:cs="Calibri"/>
          <w:color w:val="auto"/>
          <w:sz w:val="32"/>
          <w:szCs w:val="32"/>
        </w:rPr>
        <w:t xml:space="preserve">/Licenses </w:t>
      </w:r>
      <w:r w:rsidR="00E777C4">
        <w:rPr>
          <w:rFonts w:ascii="Calibri" w:hAnsi="Calibri" w:cs="Calibri"/>
          <w:color w:val="auto"/>
          <w:sz w:val="32"/>
          <w:szCs w:val="32"/>
        </w:rPr>
        <w:t>and</w:t>
      </w:r>
      <w:r w:rsidR="00D74B29">
        <w:rPr>
          <w:rFonts w:ascii="Calibri" w:hAnsi="Calibri" w:cs="Calibri"/>
          <w:color w:val="auto"/>
          <w:sz w:val="32"/>
          <w:szCs w:val="32"/>
        </w:rPr>
        <w:t xml:space="preserve"> Other</w:t>
      </w:r>
      <w:r w:rsidR="00FF4878">
        <w:rPr>
          <w:rFonts w:ascii="Calibri" w:hAnsi="Calibri" w:cs="Calibri"/>
          <w:color w:val="auto"/>
          <w:sz w:val="32"/>
          <w:szCs w:val="32"/>
        </w:rPr>
        <w:t xml:space="preserve"> Subscriptions</w:t>
      </w:r>
    </w:p>
    <w:p w14:paraId="5DF41C91" w14:textId="6445A1DF" w:rsidR="00A55F57" w:rsidRPr="00D861F6" w:rsidRDefault="003C16AD" w:rsidP="00AD71D3">
      <w:pPr>
        <w:pStyle w:val="ListParagraph"/>
        <w:rPr>
          <w:rFonts w:ascii="Calibri" w:hAnsi="Calibri" w:cs="Calibri"/>
          <w:color w:val="4F81BD" w:themeColor="accent1"/>
          <w:sz w:val="24"/>
          <w:szCs w:val="24"/>
        </w:rPr>
      </w:pPr>
      <w:r>
        <w:rPr>
          <w:rFonts w:ascii="Calibri" w:hAnsi="Calibri" w:cs="Calibri"/>
          <w:color w:val="4F81BD" w:themeColor="accent1"/>
          <w:sz w:val="24"/>
          <w:szCs w:val="24"/>
        </w:rPr>
        <w:t>If</w:t>
      </w:r>
      <w:r w:rsidR="00064ABA">
        <w:rPr>
          <w:rFonts w:ascii="Calibri" w:hAnsi="Calibri" w:cs="Calibri"/>
          <w:color w:val="4F81BD" w:themeColor="accent1"/>
          <w:sz w:val="24"/>
          <w:szCs w:val="24"/>
        </w:rPr>
        <w:t xml:space="preserve"> no</w:t>
      </w:r>
      <w:r w:rsidR="00A85FC3">
        <w:rPr>
          <w:rFonts w:ascii="Calibri" w:hAnsi="Calibri" w:cs="Calibri"/>
          <w:color w:val="4F81BD" w:themeColor="accent1"/>
          <w:sz w:val="24"/>
          <w:szCs w:val="24"/>
        </w:rPr>
        <w:t xml:space="preserve"> DAS</w:t>
      </w:r>
      <w:r w:rsidR="00064ABA">
        <w:rPr>
          <w:rFonts w:ascii="Calibri" w:hAnsi="Calibri" w:cs="Calibri"/>
          <w:color w:val="4F81BD" w:themeColor="accent1"/>
          <w:sz w:val="24"/>
          <w:szCs w:val="24"/>
        </w:rPr>
        <w:t xml:space="preserve"> contract exists, use </w:t>
      </w:r>
      <w:r w:rsidR="00E777C4">
        <w:rPr>
          <w:rFonts w:ascii="Calibri" w:hAnsi="Calibri" w:cs="Calibri"/>
          <w:color w:val="4F81BD" w:themeColor="accent1"/>
          <w:sz w:val="24"/>
          <w:szCs w:val="24"/>
        </w:rPr>
        <w:t xml:space="preserve">GL71a or GL71b as appropriate. </w:t>
      </w:r>
      <w:r w:rsidR="00661687">
        <w:rPr>
          <w:rFonts w:ascii="Calibri" w:hAnsi="Calibri" w:cs="Calibri"/>
          <w:color w:val="4F81BD" w:themeColor="accent1"/>
          <w:sz w:val="24"/>
          <w:szCs w:val="24"/>
        </w:rPr>
        <w:t>P</w:t>
      </w:r>
      <w:r w:rsidR="00661687" w:rsidRPr="00D861F6">
        <w:rPr>
          <w:rFonts w:ascii="Calibri" w:hAnsi="Calibri" w:cs="Calibri"/>
          <w:color w:val="4F81BD" w:themeColor="accent1"/>
          <w:sz w:val="24"/>
          <w:szCs w:val="24"/>
        </w:rPr>
        <w:t xml:space="preserve">urchases </w:t>
      </w:r>
      <w:r w:rsidR="00661687">
        <w:rPr>
          <w:rFonts w:ascii="Calibri" w:hAnsi="Calibri" w:cs="Calibri"/>
          <w:color w:val="4F81BD" w:themeColor="accent1"/>
          <w:sz w:val="24"/>
          <w:szCs w:val="24"/>
        </w:rPr>
        <w:t>of more than $100K</w:t>
      </w:r>
      <w:r w:rsidR="00AD71D3" w:rsidRPr="00D861F6">
        <w:rPr>
          <w:rFonts w:ascii="Calibri" w:hAnsi="Calibri" w:cs="Calibri"/>
          <w:color w:val="4F81BD" w:themeColor="accent1"/>
          <w:sz w:val="24"/>
          <w:szCs w:val="24"/>
        </w:rPr>
        <w:t xml:space="preserve"> must be sent to Procurement via DAS-BID requisition with supporting documentation attached. Standardization transaction procedures remain per CGS Chapter 58 and Sec. 4a-52-15.</w:t>
      </w:r>
      <w:r w:rsidR="00BF19BA" w:rsidRPr="00D861F6">
        <w:rPr>
          <w:rFonts w:ascii="Calibri" w:hAnsi="Calibri" w:cs="Calibri"/>
          <w:color w:val="4F81BD" w:themeColor="accent1"/>
          <w:sz w:val="24"/>
          <w:szCs w:val="24"/>
        </w:rPr>
        <w:t xml:space="preserve"> </w:t>
      </w:r>
      <w:r w:rsidR="00141D99" w:rsidRPr="00D861F6">
        <w:rPr>
          <w:rFonts w:ascii="Calibri" w:hAnsi="Calibri" w:cs="Calibri"/>
          <w:color w:val="4F81BD" w:themeColor="accent1"/>
          <w:sz w:val="24"/>
          <w:szCs w:val="24"/>
        </w:rPr>
        <w:t>This answers all questions noted below</w:t>
      </w:r>
      <w:r w:rsidR="00BF19BA" w:rsidRPr="00D861F6">
        <w:rPr>
          <w:rFonts w:ascii="Calibri" w:hAnsi="Calibri" w:cs="Calibri"/>
          <w:color w:val="4F81BD" w:themeColor="accent1"/>
          <w:sz w:val="24"/>
          <w:szCs w:val="24"/>
        </w:rPr>
        <w:t>.</w:t>
      </w:r>
      <w:r w:rsidR="00FF4878">
        <w:rPr>
          <w:rFonts w:ascii="Calibri" w:hAnsi="Calibri" w:cs="Calibri"/>
          <w:color w:val="4F81BD" w:themeColor="accent1"/>
          <w:sz w:val="24"/>
          <w:szCs w:val="24"/>
        </w:rPr>
        <w:t xml:space="preserve"> Note: </w:t>
      </w:r>
      <w:r w:rsidR="00D74B29">
        <w:rPr>
          <w:rFonts w:ascii="Calibri" w:hAnsi="Calibri" w:cs="Calibri"/>
          <w:color w:val="4F81BD" w:themeColor="accent1"/>
          <w:sz w:val="24"/>
          <w:szCs w:val="24"/>
        </w:rPr>
        <w:t>Other o</w:t>
      </w:r>
      <w:r w:rsidR="007C2C8E">
        <w:rPr>
          <w:rFonts w:ascii="Calibri" w:hAnsi="Calibri" w:cs="Calibri"/>
          <w:color w:val="4F81BD" w:themeColor="accent1"/>
          <w:sz w:val="24"/>
          <w:szCs w:val="24"/>
        </w:rPr>
        <w:t>nline subscription</w:t>
      </w:r>
      <w:r w:rsidR="00D74B29">
        <w:rPr>
          <w:rFonts w:ascii="Calibri" w:hAnsi="Calibri" w:cs="Calibri"/>
          <w:color w:val="4F81BD" w:themeColor="accent1"/>
          <w:sz w:val="24"/>
          <w:szCs w:val="24"/>
        </w:rPr>
        <w:t>s</w:t>
      </w:r>
      <w:r w:rsidR="00011260">
        <w:rPr>
          <w:rFonts w:ascii="Calibri" w:hAnsi="Calibri" w:cs="Calibri"/>
          <w:color w:val="4F81BD" w:themeColor="accent1"/>
          <w:sz w:val="24"/>
          <w:szCs w:val="24"/>
        </w:rPr>
        <w:t xml:space="preserve"> like the</w:t>
      </w:r>
      <w:r w:rsidR="007C2C8E">
        <w:rPr>
          <w:rFonts w:ascii="Calibri" w:hAnsi="Calibri" w:cs="Calibri"/>
          <w:color w:val="4F81BD" w:themeColor="accent1"/>
          <w:sz w:val="24"/>
          <w:szCs w:val="24"/>
        </w:rPr>
        <w:t xml:space="preserve"> New York Times or </w:t>
      </w:r>
      <w:r w:rsidR="00011260">
        <w:rPr>
          <w:rFonts w:ascii="Calibri" w:hAnsi="Calibri" w:cs="Calibri"/>
          <w:color w:val="4F81BD" w:themeColor="accent1"/>
          <w:sz w:val="24"/>
          <w:szCs w:val="24"/>
        </w:rPr>
        <w:t xml:space="preserve">other </w:t>
      </w:r>
      <w:r w:rsidR="00174ECB">
        <w:rPr>
          <w:rFonts w:ascii="Calibri" w:hAnsi="Calibri" w:cs="Calibri"/>
          <w:color w:val="4F81BD" w:themeColor="accent1"/>
          <w:sz w:val="24"/>
          <w:szCs w:val="24"/>
        </w:rPr>
        <w:t>web-based</w:t>
      </w:r>
      <w:r w:rsidR="00400ABA">
        <w:rPr>
          <w:rFonts w:ascii="Calibri" w:hAnsi="Calibri" w:cs="Calibri"/>
          <w:color w:val="4F81BD" w:themeColor="accent1"/>
          <w:sz w:val="24"/>
          <w:szCs w:val="24"/>
        </w:rPr>
        <w:t xml:space="preserve"> textbooks</w:t>
      </w:r>
      <w:r w:rsidR="007C2C8E">
        <w:rPr>
          <w:rFonts w:ascii="Calibri" w:hAnsi="Calibri" w:cs="Calibri"/>
          <w:color w:val="4F81BD" w:themeColor="accent1"/>
          <w:sz w:val="24"/>
          <w:szCs w:val="24"/>
        </w:rPr>
        <w:t>, follow GL71a or GL71b.</w:t>
      </w:r>
    </w:p>
    <w:p w14:paraId="0AE21BEF" w14:textId="51163530" w:rsidR="00C63018" w:rsidRPr="00D861F6" w:rsidRDefault="00223EDA" w:rsidP="002F1AA3">
      <w:pPr>
        <w:pStyle w:val="ListParagraph"/>
        <w:numPr>
          <w:ilvl w:val="0"/>
          <w:numId w:val="16"/>
        </w:numPr>
        <w:rPr>
          <w:rFonts w:ascii="Calibri" w:hAnsi="Calibri" w:cs="Calibri"/>
          <w:sz w:val="24"/>
          <w:szCs w:val="24"/>
        </w:rPr>
      </w:pPr>
      <w:r w:rsidRPr="00D861F6">
        <w:rPr>
          <w:rFonts w:ascii="Calibri" w:hAnsi="Calibri" w:cs="Calibri"/>
          <w:sz w:val="24"/>
          <w:szCs w:val="24"/>
        </w:rPr>
        <w:t>Are sole source subscription and license purchases over $100K still required to go out to bid now that GL71d is no longer available?</w:t>
      </w:r>
    </w:p>
    <w:p w14:paraId="1F56479D" w14:textId="0918A8DC" w:rsidR="00C63018" w:rsidRPr="00D861F6" w:rsidRDefault="00FD4CFA" w:rsidP="002F1AA3">
      <w:pPr>
        <w:pStyle w:val="ListParagraph"/>
        <w:numPr>
          <w:ilvl w:val="0"/>
          <w:numId w:val="16"/>
        </w:numPr>
        <w:rPr>
          <w:rFonts w:ascii="Calibri" w:hAnsi="Calibri" w:cs="Calibri"/>
          <w:sz w:val="24"/>
          <w:szCs w:val="24"/>
        </w:rPr>
      </w:pPr>
      <w:r w:rsidRPr="00D861F6">
        <w:rPr>
          <w:rFonts w:ascii="Calibri" w:hAnsi="Calibri" w:cs="Calibri"/>
          <w:sz w:val="24"/>
          <w:szCs w:val="24"/>
        </w:rPr>
        <w:t>For software renewals exceeding $100K with the same vendor, what documentation is required for the DAS-bid? Will this be handled as a Standardization Transaction or under CGS authorization?</w:t>
      </w:r>
    </w:p>
    <w:p w14:paraId="4C0616D2" w14:textId="73F490A7" w:rsidR="00C63018" w:rsidRPr="00D861F6" w:rsidRDefault="00C647C8" w:rsidP="002F1AA3">
      <w:pPr>
        <w:pStyle w:val="ListParagraph"/>
        <w:numPr>
          <w:ilvl w:val="0"/>
          <w:numId w:val="16"/>
        </w:numPr>
        <w:rPr>
          <w:rFonts w:ascii="Calibri" w:hAnsi="Calibri" w:cs="Calibri"/>
          <w:sz w:val="24"/>
          <w:szCs w:val="24"/>
        </w:rPr>
      </w:pPr>
      <w:r w:rsidRPr="00D861F6">
        <w:rPr>
          <w:rFonts w:ascii="Calibri" w:hAnsi="Calibri" w:cs="Calibri"/>
          <w:sz w:val="24"/>
          <w:szCs w:val="24"/>
        </w:rPr>
        <w:t>Without GL71d, how will the agency manage districtwide purchases of software, licenses, and subscriptions over $50K, many of which are sole source? Will each purchase now require a competitive bid?</w:t>
      </w:r>
    </w:p>
    <w:p w14:paraId="20A64664" w14:textId="00C6D967" w:rsidR="00C63018" w:rsidRDefault="00881200" w:rsidP="002F1AA3">
      <w:pPr>
        <w:pStyle w:val="ListParagraph"/>
        <w:numPr>
          <w:ilvl w:val="0"/>
          <w:numId w:val="16"/>
        </w:numPr>
        <w:rPr>
          <w:rFonts w:ascii="Calibri" w:hAnsi="Calibri" w:cs="Calibri"/>
          <w:sz w:val="24"/>
          <w:szCs w:val="24"/>
        </w:rPr>
      </w:pPr>
      <w:r w:rsidRPr="00D861F6">
        <w:rPr>
          <w:rFonts w:ascii="Calibri" w:hAnsi="Calibri" w:cs="Calibri"/>
          <w:sz w:val="24"/>
          <w:szCs w:val="24"/>
        </w:rPr>
        <w:t>How will the purchase of textbooks (hardcover or web-based) exceeding $100K be handled without GL71d, given the risk of back orders and classroom shortages if a standardized transaction is required?</w:t>
      </w:r>
    </w:p>
    <w:p w14:paraId="5ECC697D" w14:textId="01A5FB6E" w:rsidR="00567021" w:rsidRDefault="00567021" w:rsidP="002F1AA3">
      <w:pPr>
        <w:pStyle w:val="ListParagraph"/>
        <w:numPr>
          <w:ilvl w:val="0"/>
          <w:numId w:val="16"/>
        </w:numPr>
        <w:rPr>
          <w:rFonts w:ascii="Calibri" w:hAnsi="Calibri" w:cs="Calibri"/>
          <w:sz w:val="24"/>
          <w:szCs w:val="24"/>
        </w:rPr>
      </w:pPr>
      <w:r w:rsidRPr="008F6F34">
        <w:rPr>
          <w:rFonts w:ascii="Calibri" w:hAnsi="Calibri" w:cs="Calibri"/>
          <w:sz w:val="24"/>
          <w:szCs w:val="24"/>
        </w:rPr>
        <w:t xml:space="preserve">For clarity and confirmation, </w:t>
      </w:r>
      <w:r>
        <w:rPr>
          <w:rFonts w:ascii="Calibri" w:hAnsi="Calibri" w:cs="Calibri"/>
          <w:sz w:val="24"/>
          <w:szCs w:val="24"/>
        </w:rPr>
        <w:t>f</w:t>
      </w:r>
      <w:r w:rsidRPr="008F6F34">
        <w:rPr>
          <w:rFonts w:ascii="Calibri" w:hAnsi="Calibri" w:cs="Calibri"/>
          <w:sz w:val="24"/>
          <w:szCs w:val="24"/>
        </w:rPr>
        <w:t xml:space="preserve">or subscription specific to our agency with cost under $25,0000 </w:t>
      </w:r>
      <w:proofErr w:type="gramStart"/>
      <w:r w:rsidRPr="008F6F34">
        <w:rPr>
          <w:rFonts w:ascii="Calibri" w:hAnsi="Calibri" w:cs="Calibri"/>
          <w:sz w:val="24"/>
          <w:szCs w:val="24"/>
        </w:rPr>
        <w:t>is it</w:t>
      </w:r>
      <w:proofErr w:type="gramEnd"/>
      <w:r w:rsidRPr="008F6F34">
        <w:rPr>
          <w:rFonts w:ascii="Calibri" w:hAnsi="Calibri" w:cs="Calibri"/>
          <w:sz w:val="24"/>
          <w:szCs w:val="24"/>
        </w:rPr>
        <w:t xml:space="preserve"> GL71a</w:t>
      </w:r>
      <w:r>
        <w:rPr>
          <w:rFonts w:ascii="Calibri" w:hAnsi="Calibri" w:cs="Calibri"/>
          <w:sz w:val="24"/>
          <w:szCs w:val="24"/>
        </w:rPr>
        <w:t>.</w:t>
      </w:r>
    </w:p>
    <w:p w14:paraId="56A96598" w14:textId="48F308E1" w:rsidR="00FC61D8" w:rsidRPr="00FE176E" w:rsidRDefault="00FC61D8" w:rsidP="00FC61D8">
      <w:pPr>
        <w:pStyle w:val="ListParagraph"/>
        <w:ind w:left="1080"/>
        <w:rPr>
          <w:rFonts w:ascii="Calibri" w:hAnsi="Calibri" w:cs="Calibri"/>
          <w:sz w:val="24"/>
          <w:szCs w:val="24"/>
        </w:rPr>
      </w:pPr>
    </w:p>
    <w:p w14:paraId="2E0F854E" w14:textId="6D9262A1" w:rsidR="007621F5" w:rsidRPr="00C77370" w:rsidRDefault="007621F5" w:rsidP="002F1AA3">
      <w:pPr>
        <w:pStyle w:val="Heading1"/>
        <w:numPr>
          <w:ilvl w:val="0"/>
          <w:numId w:val="7"/>
        </w:numPr>
        <w15:collapsed/>
        <w:rPr>
          <w:rFonts w:ascii="Calibri" w:hAnsi="Calibri" w:cs="Calibri"/>
          <w:color w:val="auto"/>
          <w:sz w:val="32"/>
          <w:szCs w:val="32"/>
        </w:rPr>
      </w:pPr>
      <w:r w:rsidRPr="00C77370">
        <w:rPr>
          <w:rFonts w:ascii="Calibri" w:hAnsi="Calibri" w:cs="Calibri"/>
          <w:color w:val="auto"/>
          <w:sz w:val="32"/>
          <w:szCs w:val="32"/>
        </w:rPr>
        <w:t>Utilities</w:t>
      </w:r>
      <w:r w:rsidR="00405F7C">
        <w:rPr>
          <w:rFonts w:ascii="Calibri" w:hAnsi="Calibri" w:cs="Calibri"/>
          <w:color w:val="auto"/>
          <w:sz w:val="32"/>
          <w:szCs w:val="32"/>
        </w:rPr>
        <w:t xml:space="preserve"> </w:t>
      </w:r>
      <w:r w:rsidR="00405F7C" w:rsidRPr="00757C14">
        <w:rPr>
          <w:rFonts w:ascii="Calibri" w:hAnsi="Calibri" w:cs="Calibri"/>
          <w:color w:val="auto"/>
          <w:sz w:val="32"/>
          <w:szCs w:val="32"/>
        </w:rPr>
        <w:t>&amp; Service Classification</w:t>
      </w:r>
    </w:p>
    <w:p w14:paraId="2A022438" w14:textId="50F80D32" w:rsidR="00F64BD1" w:rsidRPr="00D861F6" w:rsidRDefault="00107BA8" w:rsidP="00AD71D3">
      <w:pPr>
        <w:ind w:left="720"/>
        <w:rPr>
          <w:rFonts w:ascii="Calibri" w:hAnsi="Calibri" w:cs="Calibri"/>
          <w:color w:val="4F81BD" w:themeColor="accent1"/>
          <w:sz w:val="24"/>
          <w:szCs w:val="24"/>
        </w:rPr>
      </w:pPr>
      <w:r w:rsidRPr="00D861F6">
        <w:rPr>
          <w:rFonts w:ascii="Calibri" w:hAnsi="Calibri" w:cs="Calibri"/>
          <w:color w:val="4F81BD" w:themeColor="accent1"/>
          <w:sz w:val="24"/>
          <w:szCs w:val="24"/>
        </w:rPr>
        <w:t xml:space="preserve">Utility transactions are not authorized under GL71. In Core-CT, POs will fall under the CGS purchasing authority. You must add a comment to reference the appropriate statute: </w:t>
      </w:r>
      <w:hyperlink r:id="rId20" w:anchor="sec_4a-57(e)(1)" w:history="1">
        <w:r w:rsidRPr="00347FCA">
          <w:rPr>
            <w:rStyle w:val="Hyperlink"/>
            <w:rFonts w:ascii="Calibri" w:hAnsi="Calibri" w:cs="Calibri"/>
            <w:sz w:val="24"/>
            <w:szCs w:val="24"/>
          </w:rPr>
          <w:t>4a-57(e)(1)</w:t>
        </w:r>
      </w:hyperlink>
      <w:r w:rsidRPr="00D861F6">
        <w:rPr>
          <w:rFonts w:ascii="Calibri" w:hAnsi="Calibri" w:cs="Calibri"/>
          <w:color w:val="4F81BD" w:themeColor="accent1"/>
          <w:sz w:val="24"/>
          <w:szCs w:val="24"/>
        </w:rPr>
        <w:t xml:space="preserve">. </w:t>
      </w:r>
      <w:r w:rsidR="00E140B2">
        <w:rPr>
          <w:rFonts w:ascii="Calibri" w:hAnsi="Calibri" w:cs="Calibri"/>
          <w:color w:val="4F81BD" w:themeColor="accent1"/>
          <w:sz w:val="24"/>
          <w:szCs w:val="24"/>
        </w:rPr>
        <w:t>Cable/</w:t>
      </w:r>
      <w:r w:rsidR="005B26C7">
        <w:rPr>
          <w:rFonts w:ascii="Calibri" w:hAnsi="Calibri" w:cs="Calibri"/>
          <w:color w:val="4F81BD" w:themeColor="accent1"/>
          <w:sz w:val="24"/>
          <w:szCs w:val="24"/>
        </w:rPr>
        <w:t>Wi-Fi</w:t>
      </w:r>
      <w:r w:rsidR="00B30199">
        <w:rPr>
          <w:rFonts w:ascii="Calibri" w:hAnsi="Calibri" w:cs="Calibri"/>
          <w:color w:val="4F81BD" w:themeColor="accent1"/>
          <w:sz w:val="24"/>
          <w:szCs w:val="24"/>
        </w:rPr>
        <w:t xml:space="preserve"> and</w:t>
      </w:r>
      <w:r w:rsidR="00220597">
        <w:rPr>
          <w:rFonts w:ascii="Calibri" w:hAnsi="Calibri" w:cs="Calibri"/>
          <w:color w:val="4F81BD" w:themeColor="accent1"/>
          <w:sz w:val="24"/>
          <w:szCs w:val="24"/>
        </w:rPr>
        <w:t xml:space="preserve"> propane</w:t>
      </w:r>
      <w:r w:rsidR="00E140B2">
        <w:rPr>
          <w:rFonts w:ascii="Calibri" w:hAnsi="Calibri" w:cs="Calibri"/>
          <w:color w:val="4F81BD" w:themeColor="accent1"/>
          <w:sz w:val="24"/>
          <w:szCs w:val="24"/>
        </w:rPr>
        <w:t xml:space="preserve"> are not </w:t>
      </w:r>
      <w:r w:rsidR="00220597">
        <w:rPr>
          <w:rFonts w:ascii="Calibri" w:hAnsi="Calibri" w:cs="Calibri"/>
          <w:color w:val="4F81BD" w:themeColor="accent1"/>
          <w:sz w:val="24"/>
          <w:szCs w:val="24"/>
        </w:rPr>
        <w:t>public</w:t>
      </w:r>
      <w:r w:rsidR="00F16673">
        <w:rPr>
          <w:rFonts w:ascii="Calibri" w:hAnsi="Calibri" w:cs="Calibri"/>
          <w:color w:val="4F81BD" w:themeColor="accent1"/>
          <w:sz w:val="24"/>
          <w:szCs w:val="24"/>
        </w:rPr>
        <w:t xml:space="preserve"> utilities. </w:t>
      </w:r>
      <w:r w:rsidRPr="00D861F6">
        <w:rPr>
          <w:rFonts w:ascii="Calibri" w:hAnsi="Calibri" w:cs="Calibri"/>
          <w:color w:val="4F81BD" w:themeColor="accent1"/>
          <w:sz w:val="24"/>
          <w:szCs w:val="24"/>
        </w:rPr>
        <w:t xml:space="preserve">Note: If the sewer is bundled, it would fall under the statute, if the sewer is billed separately it </w:t>
      </w:r>
      <w:r w:rsidR="007621F5" w:rsidRPr="00D861F6">
        <w:rPr>
          <w:rFonts w:ascii="Calibri" w:hAnsi="Calibri" w:cs="Calibri"/>
          <w:color w:val="4F81BD" w:themeColor="accent1"/>
          <w:sz w:val="24"/>
          <w:szCs w:val="24"/>
        </w:rPr>
        <w:t>falls</w:t>
      </w:r>
      <w:r w:rsidRPr="00D861F6">
        <w:rPr>
          <w:rFonts w:ascii="Calibri" w:hAnsi="Calibri" w:cs="Calibri"/>
          <w:color w:val="4F81BD" w:themeColor="accent1"/>
          <w:sz w:val="24"/>
          <w:szCs w:val="24"/>
        </w:rPr>
        <w:t xml:space="preserve"> under GL71b. </w:t>
      </w:r>
      <w:r w:rsidR="008535BE" w:rsidRPr="00D861F6">
        <w:rPr>
          <w:rFonts w:ascii="Calibri" w:hAnsi="Calibri" w:cs="Calibri"/>
          <w:color w:val="4F81BD" w:themeColor="accent1"/>
          <w:sz w:val="24"/>
          <w:szCs w:val="24"/>
        </w:rPr>
        <w:t>This answers all questions noted below.</w:t>
      </w:r>
    </w:p>
    <w:p w14:paraId="1CF28EF7" w14:textId="7FB61D60" w:rsidR="00950E9D" w:rsidRPr="00D861F6" w:rsidRDefault="009D0FCE" w:rsidP="002F1AA3">
      <w:pPr>
        <w:pStyle w:val="ListParagraph"/>
        <w:numPr>
          <w:ilvl w:val="0"/>
          <w:numId w:val="17"/>
        </w:numPr>
        <w:rPr>
          <w:rFonts w:ascii="Calibri" w:hAnsi="Calibri" w:cs="Calibri"/>
          <w:sz w:val="24"/>
          <w:szCs w:val="24"/>
        </w:rPr>
      </w:pPr>
      <w:r w:rsidRPr="00D861F6">
        <w:rPr>
          <w:rFonts w:ascii="Calibri" w:hAnsi="Calibri" w:cs="Calibri"/>
          <w:sz w:val="24"/>
          <w:szCs w:val="24"/>
        </w:rPr>
        <w:t>What is the correct procedure for setting up POs for utility payments exceeding $100K annually after July?</w:t>
      </w:r>
      <w:r w:rsidR="00F05585" w:rsidRPr="00D861F6">
        <w:rPr>
          <w:rFonts w:ascii="Calibri" w:hAnsi="Calibri" w:cs="Calibri"/>
          <w:sz w:val="24"/>
          <w:szCs w:val="24"/>
        </w:rPr>
        <w:t xml:space="preserve"> </w:t>
      </w:r>
    </w:p>
    <w:p w14:paraId="3A6B2A50" w14:textId="253C95AE" w:rsidR="00950E9D" w:rsidRPr="00D861F6" w:rsidRDefault="00FA0D24" w:rsidP="002F1AA3">
      <w:pPr>
        <w:pStyle w:val="ListParagraph"/>
        <w:numPr>
          <w:ilvl w:val="0"/>
          <w:numId w:val="17"/>
        </w:numPr>
        <w:rPr>
          <w:rFonts w:ascii="Calibri" w:hAnsi="Calibri" w:cs="Calibri"/>
          <w:sz w:val="24"/>
          <w:szCs w:val="24"/>
        </w:rPr>
      </w:pPr>
      <w:r w:rsidRPr="00D861F6">
        <w:rPr>
          <w:rFonts w:ascii="Calibri" w:hAnsi="Calibri" w:cs="Calibri"/>
          <w:sz w:val="24"/>
          <w:szCs w:val="24"/>
        </w:rPr>
        <w:t>How should sewer services be handled under CGS 4a-57(e)(1) since the statute only references electric, water, and gas?</w:t>
      </w:r>
    </w:p>
    <w:p w14:paraId="2F3445D2" w14:textId="22BF12B8" w:rsidR="00F64BD1" w:rsidRDefault="004A6A5B" w:rsidP="002F1AA3">
      <w:pPr>
        <w:pStyle w:val="ListParagraph"/>
        <w:numPr>
          <w:ilvl w:val="0"/>
          <w:numId w:val="17"/>
        </w:numPr>
        <w:rPr>
          <w:rFonts w:ascii="Calibri" w:hAnsi="Calibri" w:cs="Calibri"/>
          <w:sz w:val="24"/>
          <w:szCs w:val="24"/>
        </w:rPr>
      </w:pPr>
      <w:r w:rsidRPr="00D861F6">
        <w:rPr>
          <w:rFonts w:ascii="Calibri" w:hAnsi="Calibri" w:cs="Calibri"/>
          <w:sz w:val="24"/>
          <w:szCs w:val="24"/>
        </w:rPr>
        <w:t xml:space="preserve">How should natural gas payments to DASM1 be handled after 7/1/25 if budget staff </w:t>
      </w:r>
      <w:r w:rsidR="007D23ED" w:rsidRPr="00D861F6">
        <w:rPr>
          <w:rFonts w:ascii="Calibri" w:hAnsi="Calibri" w:cs="Calibri"/>
          <w:sz w:val="24"/>
          <w:szCs w:val="24"/>
        </w:rPr>
        <w:t>are</w:t>
      </w:r>
      <w:r w:rsidRPr="00D861F6">
        <w:rPr>
          <w:rFonts w:ascii="Calibri" w:hAnsi="Calibri" w:cs="Calibri"/>
          <w:sz w:val="24"/>
          <w:szCs w:val="24"/>
        </w:rPr>
        <w:t xml:space="preserve"> not included in the non-PO voucher process?</w:t>
      </w:r>
    </w:p>
    <w:p w14:paraId="311DA72D" w14:textId="59A33819" w:rsidR="00E7778C" w:rsidRDefault="00E7778C" w:rsidP="002F1AA3">
      <w:pPr>
        <w:pStyle w:val="ListParagraph"/>
        <w:numPr>
          <w:ilvl w:val="0"/>
          <w:numId w:val="17"/>
        </w:numPr>
        <w:rPr>
          <w:rFonts w:ascii="Calibri" w:hAnsi="Calibri" w:cs="Calibri"/>
          <w:sz w:val="24"/>
          <w:szCs w:val="24"/>
        </w:rPr>
      </w:pPr>
      <w:r w:rsidRPr="0055131A">
        <w:rPr>
          <w:rFonts w:ascii="Calibri" w:hAnsi="Calibri" w:cs="Calibri"/>
          <w:sz w:val="24"/>
          <w:szCs w:val="24"/>
        </w:rPr>
        <w:t>How should utility expenses billed indirectly be processed (e.g., the utility company bills the leaseholder, the leaseholder bills DAS, and then DAS bills our agency)?</w:t>
      </w:r>
    </w:p>
    <w:p w14:paraId="18A7DCE0" w14:textId="4F6ACEB3" w:rsidR="005B26C7" w:rsidRPr="00C66F29" w:rsidRDefault="00C66F29" w:rsidP="002F1AA3">
      <w:pPr>
        <w:pStyle w:val="ListParagraph"/>
        <w:numPr>
          <w:ilvl w:val="0"/>
          <w:numId w:val="17"/>
        </w:numPr>
        <w:rPr>
          <w:rFonts w:ascii="Calibri" w:hAnsi="Calibri" w:cs="Calibri"/>
          <w:sz w:val="24"/>
          <w:szCs w:val="24"/>
        </w:rPr>
      </w:pPr>
      <w:r w:rsidRPr="00757C14">
        <w:t xml:space="preserve">Is cable/Wi-Fi </w:t>
      </w:r>
      <w:proofErr w:type="gramStart"/>
      <w:r w:rsidRPr="00757C14">
        <w:t>considered</w:t>
      </w:r>
      <w:proofErr w:type="gramEnd"/>
      <w:r w:rsidRPr="00757C14">
        <w:t xml:space="preserve"> a public utility, or does it fall under a GL71?</w:t>
      </w:r>
    </w:p>
    <w:p w14:paraId="27B8E633" w14:textId="481969B0" w:rsidR="00C66F29" w:rsidRPr="001C090A" w:rsidRDefault="001C090A" w:rsidP="002F1AA3">
      <w:pPr>
        <w:pStyle w:val="ListParagraph"/>
        <w:numPr>
          <w:ilvl w:val="0"/>
          <w:numId w:val="17"/>
        </w:numPr>
        <w:rPr>
          <w:rFonts w:ascii="Calibri" w:hAnsi="Calibri" w:cs="Calibri"/>
          <w:sz w:val="24"/>
          <w:szCs w:val="24"/>
        </w:rPr>
      </w:pPr>
      <w:r w:rsidRPr="00757C14">
        <w:t>Is water considered a utility?</w:t>
      </w:r>
    </w:p>
    <w:p w14:paraId="473914D0" w14:textId="5657A220" w:rsidR="001C090A" w:rsidRPr="00D861F6" w:rsidRDefault="00B30199" w:rsidP="002F1AA3">
      <w:pPr>
        <w:pStyle w:val="ListParagraph"/>
        <w:numPr>
          <w:ilvl w:val="0"/>
          <w:numId w:val="17"/>
        </w:numPr>
        <w:rPr>
          <w:rFonts w:ascii="Calibri" w:hAnsi="Calibri" w:cs="Calibri"/>
          <w:sz w:val="24"/>
          <w:szCs w:val="24"/>
        </w:rPr>
      </w:pPr>
      <w:r w:rsidRPr="00757C14">
        <w:t>Is propane considered a utility?</w:t>
      </w:r>
      <w:r w:rsidR="00B8575F">
        <w:t xml:space="preserve"> </w:t>
      </w:r>
      <w:r w:rsidR="00B8575F" w:rsidRPr="00B8575F">
        <w:rPr>
          <w:color w:val="0070C0"/>
        </w:rPr>
        <w:t>No</w:t>
      </w:r>
    </w:p>
    <w:p w14:paraId="65B20C9D" w14:textId="5D14E09E" w:rsidR="00157A8D" w:rsidRPr="001A2915" w:rsidRDefault="00157A8D" w:rsidP="00157A8D">
      <w:pPr>
        <w:pStyle w:val="Heading1"/>
        <w15:collapsed/>
        <w:rPr>
          <w:rFonts w:ascii="Calibri" w:hAnsi="Calibri" w:cs="Calibri"/>
          <w:color w:val="auto"/>
          <w:sz w:val="32"/>
          <w:szCs w:val="32"/>
        </w:rPr>
      </w:pPr>
      <w:r w:rsidRPr="001A2915">
        <w:rPr>
          <w:rFonts w:ascii="Calibri" w:hAnsi="Calibri" w:cs="Calibri"/>
          <w:color w:val="auto"/>
          <w:sz w:val="32"/>
          <w:szCs w:val="32"/>
        </w:rPr>
        <w:t>Key Reminders for Processing Transactions Under GL71:</w:t>
      </w:r>
    </w:p>
    <w:p w14:paraId="7A9ADA05" w14:textId="7C4D5758" w:rsidR="00157A8D" w:rsidRDefault="00157A8D" w:rsidP="002F1AA3">
      <w:pPr>
        <w:numPr>
          <w:ilvl w:val="0"/>
          <w:numId w:val="18"/>
        </w:numPr>
        <w:spacing w:after="160" w:line="278" w:lineRule="auto"/>
        <w:rPr>
          <w:rFonts w:ascii="Calibri" w:hAnsi="Calibri" w:cs="Calibri"/>
          <w:sz w:val="24"/>
          <w:szCs w:val="24"/>
        </w:rPr>
      </w:pPr>
      <w:r w:rsidRPr="008205E7">
        <w:rPr>
          <w:rFonts w:ascii="Calibri" w:hAnsi="Calibri" w:cs="Calibri"/>
          <w:sz w:val="24"/>
          <w:szCs w:val="24"/>
        </w:rPr>
        <w:t>GL71 provides delegated purchasing authority to Executive Branch agencies</w:t>
      </w:r>
      <w:r w:rsidR="000F55D2">
        <w:rPr>
          <w:rFonts w:ascii="Calibri" w:hAnsi="Calibri" w:cs="Calibri"/>
          <w:sz w:val="24"/>
          <w:szCs w:val="24"/>
        </w:rPr>
        <w:t xml:space="preserve"> </w:t>
      </w:r>
      <w:r w:rsidR="000F55D2" w:rsidRPr="000F55D2">
        <w:rPr>
          <w:rFonts w:ascii="Calibri" w:hAnsi="Calibri" w:cs="Calibri"/>
          <w:i/>
          <w:iCs/>
          <w:sz w:val="24"/>
          <w:szCs w:val="24"/>
        </w:rPr>
        <w:t>only</w:t>
      </w:r>
      <w:r w:rsidRPr="008205E7">
        <w:rPr>
          <w:rFonts w:ascii="Calibri" w:hAnsi="Calibri" w:cs="Calibri"/>
          <w:sz w:val="24"/>
          <w:szCs w:val="24"/>
        </w:rPr>
        <w:t xml:space="preserve">, allowing them to independently procure goods and services </w:t>
      </w:r>
      <w:r w:rsidRPr="008205E7">
        <w:rPr>
          <w:rFonts w:ascii="Calibri" w:hAnsi="Calibri" w:cs="Calibri"/>
          <w:i/>
          <w:iCs/>
          <w:sz w:val="24"/>
          <w:szCs w:val="24"/>
        </w:rPr>
        <w:t>only</w:t>
      </w:r>
      <w:r w:rsidRPr="008205E7">
        <w:rPr>
          <w:rFonts w:ascii="Calibri" w:hAnsi="Calibri" w:cs="Calibri"/>
          <w:sz w:val="24"/>
          <w:szCs w:val="24"/>
        </w:rPr>
        <w:t xml:space="preserve"> as authorized under this delegation. This authority is granted in lieu of DAS conducting the procurement on behalf of the agency</w:t>
      </w:r>
      <w:r>
        <w:rPr>
          <w:rFonts w:ascii="Calibri" w:hAnsi="Calibri" w:cs="Calibri"/>
          <w:sz w:val="24"/>
          <w:szCs w:val="24"/>
        </w:rPr>
        <w:t xml:space="preserve">. </w:t>
      </w:r>
      <w:r w:rsidRPr="008205E7">
        <w:rPr>
          <w:rFonts w:ascii="Calibri" w:hAnsi="Calibri" w:cs="Calibri"/>
          <w:sz w:val="24"/>
          <w:szCs w:val="24"/>
        </w:rPr>
        <w:t xml:space="preserve">Any procurement activity outside the scope of GL71 is not authorized and must be conducted under the appropriate </w:t>
      </w:r>
      <w:r w:rsidR="00F95B43">
        <w:rPr>
          <w:rFonts w:ascii="Calibri" w:hAnsi="Calibri" w:cs="Calibri"/>
          <w:sz w:val="24"/>
          <w:szCs w:val="24"/>
        </w:rPr>
        <w:t>purchasing</w:t>
      </w:r>
      <w:r w:rsidRPr="008205E7">
        <w:rPr>
          <w:rFonts w:ascii="Calibri" w:hAnsi="Calibri" w:cs="Calibri"/>
          <w:sz w:val="24"/>
          <w:szCs w:val="24"/>
        </w:rPr>
        <w:t xml:space="preserve"> authority</w:t>
      </w:r>
      <w:r>
        <w:rPr>
          <w:rFonts w:ascii="Calibri" w:hAnsi="Calibri" w:cs="Calibri"/>
          <w:sz w:val="24"/>
          <w:szCs w:val="24"/>
        </w:rPr>
        <w:t>.</w:t>
      </w:r>
    </w:p>
    <w:p w14:paraId="21AADCBE" w14:textId="77777777" w:rsidR="00157A8D" w:rsidRDefault="00157A8D" w:rsidP="002F1AA3">
      <w:pPr>
        <w:numPr>
          <w:ilvl w:val="0"/>
          <w:numId w:val="18"/>
        </w:numPr>
        <w:spacing w:after="160" w:line="278" w:lineRule="auto"/>
        <w:rPr>
          <w:rFonts w:ascii="Calibri" w:hAnsi="Calibri" w:cs="Calibri"/>
          <w:sz w:val="24"/>
          <w:szCs w:val="24"/>
        </w:rPr>
      </w:pPr>
      <w:r>
        <w:rPr>
          <w:rFonts w:ascii="Calibri" w:hAnsi="Calibri" w:cs="Calibri"/>
          <w:sz w:val="24"/>
          <w:szCs w:val="24"/>
        </w:rPr>
        <w:t xml:space="preserve">Follow your agency’s internal processes when </w:t>
      </w:r>
      <w:r w:rsidRPr="008205E7">
        <w:rPr>
          <w:rFonts w:ascii="Calibri" w:hAnsi="Calibri" w:cs="Calibri"/>
          <w:sz w:val="24"/>
          <w:szCs w:val="24"/>
        </w:rPr>
        <w:t>initiating and approving transactions</w:t>
      </w:r>
      <w:r>
        <w:rPr>
          <w:rFonts w:ascii="Calibri" w:hAnsi="Calibri" w:cs="Calibri"/>
          <w:sz w:val="24"/>
          <w:szCs w:val="24"/>
        </w:rPr>
        <w:t>.</w:t>
      </w:r>
    </w:p>
    <w:p w14:paraId="0BACFBA0" w14:textId="77777777" w:rsidR="00FD2121" w:rsidRDefault="00157A8D" w:rsidP="002F1AA3">
      <w:pPr>
        <w:numPr>
          <w:ilvl w:val="0"/>
          <w:numId w:val="18"/>
        </w:numPr>
        <w:spacing w:after="160" w:line="278" w:lineRule="auto"/>
        <w15:collapsed/>
        <w:rPr>
          <w:rFonts w:ascii="Calibri" w:hAnsi="Calibri" w:cs="Calibri"/>
          <w:sz w:val="24"/>
          <w:szCs w:val="24"/>
        </w:rPr>
      </w:pPr>
      <w:r w:rsidRPr="007819CE">
        <w:rPr>
          <w:rFonts w:ascii="Calibri" w:hAnsi="Calibri" w:cs="Calibri"/>
          <w:sz w:val="24"/>
          <w:szCs w:val="24"/>
        </w:rPr>
        <w:t>Maintain proper documentation for all purchases to ensure audit readiness and avoid compliance issues.</w:t>
      </w:r>
    </w:p>
    <w:p w14:paraId="1D15A3BF" w14:textId="056EEDFF" w:rsidR="003A5E8E" w:rsidRPr="007819CE" w:rsidRDefault="00157A8D" w:rsidP="002F1AA3">
      <w:pPr>
        <w:numPr>
          <w:ilvl w:val="0"/>
          <w:numId w:val="18"/>
        </w:numPr>
        <w:spacing w:after="160" w:line="278" w:lineRule="auto"/>
        <w15:collapsed/>
        <w:rPr>
          <w:rFonts w:ascii="Calibri" w:hAnsi="Calibri" w:cs="Calibri"/>
          <w:sz w:val="24"/>
          <w:szCs w:val="24"/>
        </w:rPr>
      </w:pPr>
      <w:proofErr w:type="gramStart"/>
      <w:r w:rsidRPr="007819CE">
        <w:rPr>
          <w:rFonts w:ascii="Calibri" w:hAnsi="Calibri" w:cs="Calibri"/>
          <w:sz w:val="24"/>
          <w:szCs w:val="24"/>
        </w:rPr>
        <w:t>Reference</w:t>
      </w:r>
      <w:proofErr w:type="gramEnd"/>
      <w:r w:rsidRPr="007819CE">
        <w:rPr>
          <w:rFonts w:ascii="Calibri" w:hAnsi="Calibri" w:cs="Calibri"/>
          <w:sz w:val="24"/>
          <w:szCs w:val="24"/>
        </w:rPr>
        <w:t xml:space="preserve"> the correct </w:t>
      </w:r>
      <w:r w:rsidR="00207386" w:rsidRPr="007819CE">
        <w:rPr>
          <w:rFonts w:ascii="Calibri" w:hAnsi="Calibri" w:cs="Calibri"/>
          <w:sz w:val="24"/>
          <w:szCs w:val="24"/>
        </w:rPr>
        <w:t>p</w:t>
      </w:r>
      <w:r w:rsidRPr="007819CE">
        <w:rPr>
          <w:rFonts w:ascii="Calibri" w:hAnsi="Calibri" w:cs="Calibri"/>
          <w:sz w:val="24"/>
          <w:szCs w:val="24"/>
        </w:rPr>
        <w:t xml:space="preserve">urchasing </w:t>
      </w:r>
      <w:r w:rsidR="00207386" w:rsidRPr="007819CE">
        <w:rPr>
          <w:rFonts w:ascii="Calibri" w:hAnsi="Calibri" w:cs="Calibri"/>
          <w:sz w:val="24"/>
          <w:szCs w:val="24"/>
        </w:rPr>
        <w:t>a</w:t>
      </w:r>
      <w:r w:rsidRPr="007819CE">
        <w:rPr>
          <w:rFonts w:ascii="Calibri" w:hAnsi="Calibri" w:cs="Calibri"/>
          <w:sz w:val="24"/>
          <w:szCs w:val="24"/>
        </w:rPr>
        <w:t>uthority (e.g., GL71</w:t>
      </w:r>
      <w:r w:rsidR="00207386" w:rsidRPr="007819CE">
        <w:rPr>
          <w:rFonts w:ascii="Calibri" w:hAnsi="Calibri" w:cs="Calibri"/>
          <w:sz w:val="24"/>
          <w:szCs w:val="24"/>
        </w:rPr>
        <w:t>a, CGS</w:t>
      </w:r>
      <w:r w:rsidR="007819CE" w:rsidRPr="007819CE">
        <w:rPr>
          <w:rFonts w:ascii="Calibri" w:hAnsi="Calibri" w:cs="Calibri"/>
          <w:sz w:val="24"/>
          <w:szCs w:val="24"/>
        </w:rPr>
        <w:t>, contract</w:t>
      </w:r>
      <w:r w:rsidRPr="007819CE">
        <w:rPr>
          <w:rFonts w:ascii="Calibri" w:hAnsi="Calibri" w:cs="Calibri"/>
          <w:sz w:val="24"/>
          <w:szCs w:val="24"/>
        </w:rPr>
        <w:t>) in Core-CT for each applicable transaction.</w:t>
      </w:r>
    </w:p>
    <w:p w14:paraId="5D61B1CF" w14:textId="77777777" w:rsidR="003A5E8E" w:rsidRPr="00C77370" w:rsidRDefault="003A5E8E" w:rsidP="00C77370">
      <w:pPr>
        <w:rPr>
          <w:rFonts w:ascii="Calibri" w:hAnsi="Calibri" w:cs="Calibri"/>
          <w:sz w:val="24"/>
          <w:szCs w:val="24"/>
        </w:rPr>
      </w:pPr>
    </w:p>
    <w:sectPr w:rsidR="003A5E8E" w:rsidRPr="00C77370" w:rsidSect="009A5416">
      <w:headerReference w:type="default" r:id="rId21"/>
      <w:footerReference w:type="default" r:id="rId22"/>
      <w:pgSz w:w="12240" w:h="15840"/>
      <w:pgMar w:top="1440" w:right="1080" w:bottom="72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09101" w14:textId="77777777" w:rsidR="00A43702" w:rsidRDefault="00A43702" w:rsidP="00136BD7">
      <w:pPr>
        <w:spacing w:after="0" w:line="240" w:lineRule="auto"/>
      </w:pPr>
      <w:r>
        <w:separator/>
      </w:r>
    </w:p>
  </w:endnote>
  <w:endnote w:type="continuationSeparator" w:id="0">
    <w:p w14:paraId="37697055" w14:textId="77777777" w:rsidR="00A43702" w:rsidRDefault="00A43702" w:rsidP="00136BD7">
      <w:pPr>
        <w:spacing w:after="0" w:line="240" w:lineRule="auto"/>
      </w:pPr>
      <w:r>
        <w:continuationSeparator/>
      </w:r>
    </w:p>
  </w:endnote>
  <w:endnote w:type="continuationNotice" w:id="1">
    <w:p w14:paraId="2A7E4384" w14:textId="77777777" w:rsidR="00A43702" w:rsidRDefault="00A437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88F2" w14:textId="11B18103" w:rsidR="00AE0F5C" w:rsidRPr="001B52B4" w:rsidRDefault="00CF2BEB" w:rsidP="00AE0F5C">
    <w:pPr>
      <w:pStyle w:val="Footer"/>
      <w:rPr>
        <w:rFonts w:ascii="Aptos" w:hAnsi="Aptos"/>
        <w:color w:val="000000" w:themeColor="text1"/>
        <w:sz w:val="24"/>
        <w:szCs w:val="24"/>
      </w:rPr>
    </w:pPr>
    <w:r>
      <w:rPr>
        <w:rFonts w:ascii="Aptos" w:hAnsi="Aptos"/>
        <w:color w:val="000000" w:themeColor="text1"/>
        <w:sz w:val="24"/>
        <w:szCs w:val="24"/>
      </w:rPr>
      <w:t>June</w:t>
    </w:r>
    <w:r w:rsidR="00AE0F5C" w:rsidRPr="001B52B4">
      <w:rPr>
        <w:rFonts w:ascii="Aptos" w:hAnsi="Aptos"/>
        <w:color w:val="000000" w:themeColor="text1"/>
        <w:sz w:val="24"/>
        <w:szCs w:val="24"/>
      </w:rPr>
      <w:t xml:space="preserve"> 2025 </w:t>
    </w:r>
    <w:sdt>
      <w:sdtPr>
        <w:rPr>
          <w:rFonts w:ascii="Aptos" w:hAnsi="Aptos"/>
          <w:color w:val="000000" w:themeColor="text1"/>
          <w:sz w:val="24"/>
          <w:szCs w:val="24"/>
        </w:rPr>
        <w:id w:val="-1171100177"/>
        <w:docPartObj>
          <w:docPartGallery w:val="Page Numbers (Bottom of Page)"/>
          <w:docPartUnique/>
        </w:docPartObj>
      </w:sdtPr>
      <w:sdtEndPr/>
      <w:sdtContent>
        <w:sdt>
          <w:sdtPr>
            <w:rPr>
              <w:rFonts w:ascii="Aptos" w:hAnsi="Aptos"/>
              <w:color w:val="000000" w:themeColor="text1"/>
              <w:sz w:val="24"/>
              <w:szCs w:val="24"/>
            </w:rPr>
            <w:id w:val="-1769616900"/>
            <w:docPartObj>
              <w:docPartGallery w:val="Page Numbers (Top of Page)"/>
              <w:docPartUnique/>
            </w:docPartObj>
          </w:sdtPr>
          <w:sdtEndPr/>
          <w:sdtContent>
            <w:r w:rsidR="00AE0F5C" w:rsidRPr="001B52B4">
              <w:rPr>
                <w:rFonts w:ascii="Aptos" w:hAnsi="Aptos"/>
                <w:color w:val="000000" w:themeColor="text1"/>
                <w:sz w:val="24"/>
                <w:szCs w:val="24"/>
              </w:rPr>
              <w:tab/>
            </w:r>
            <w:r w:rsidR="00AE0F5C" w:rsidRPr="001B52B4">
              <w:rPr>
                <w:rFonts w:ascii="Aptos" w:hAnsi="Aptos"/>
                <w:color w:val="000000" w:themeColor="text1"/>
                <w:sz w:val="24"/>
                <w:szCs w:val="24"/>
              </w:rPr>
              <w:tab/>
              <w:t xml:space="preserve">Page </w:t>
            </w:r>
            <w:r w:rsidR="00AE0F5C" w:rsidRPr="001B52B4">
              <w:rPr>
                <w:rFonts w:ascii="Aptos" w:hAnsi="Aptos"/>
                <w:b/>
                <w:bCs/>
                <w:color w:val="000000" w:themeColor="text1"/>
                <w:sz w:val="24"/>
                <w:szCs w:val="24"/>
              </w:rPr>
              <w:fldChar w:fldCharType="begin"/>
            </w:r>
            <w:r w:rsidR="00AE0F5C" w:rsidRPr="001B52B4">
              <w:rPr>
                <w:rFonts w:ascii="Aptos" w:hAnsi="Aptos"/>
                <w:b/>
                <w:bCs/>
                <w:color w:val="000000" w:themeColor="text1"/>
                <w:sz w:val="24"/>
                <w:szCs w:val="24"/>
              </w:rPr>
              <w:instrText xml:space="preserve"> PAGE </w:instrText>
            </w:r>
            <w:r w:rsidR="00AE0F5C" w:rsidRPr="001B52B4">
              <w:rPr>
                <w:rFonts w:ascii="Aptos" w:hAnsi="Aptos"/>
                <w:b/>
                <w:bCs/>
                <w:color w:val="000000" w:themeColor="text1"/>
                <w:sz w:val="24"/>
                <w:szCs w:val="24"/>
              </w:rPr>
              <w:fldChar w:fldCharType="separate"/>
            </w:r>
            <w:r w:rsidR="00AE0F5C" w:rsidRPr="001B52B4">
              <w:rPr>
                <w:rFonts w:ascii="Aptos" w:hAnsi="Aptos"/>
                <w:b/>
                <w:bCs/>
                <w:color w:val="000000" w:themeColor="text1"/>
                <w:sz w:val="24"/>
                <w:szCs w:val="24"/>
              </w:rPr>
              <w:t>5</w:t>
            </w:r>
            <w:r w:rsidR="00AE0F5C" w:rsidRPr="001B52B4">
              <w:rPr>
                <w:rFonts w:ascii="Aptos" w:hAnsi="Aptos"/>
                <w:b/>
                <w:bCs/>
                <w:color w:val="000000" w:themeColor="text1"/>
                <w:sz w:val="24"/>
                <w:szCs w:val="24"/>
              </w:rPr>
              <w:fldChar w:fldCharType="end"/>
            </w:r>
            <w:r w:rsidR="00AE0F5C" w:rsidRPr="001B52B4">
              <w:rPr>
                <w:rFonts w:ascii="Aptos" w:hAnsi="Aptos"/>
                <w:color w:val="000000" w:themeColor="text1"/>
                <w:sz w:val="24"/>
                <w:szCs w:val="24"/>
              </w:rPr>
              <w:t xml:space="preserve"> of </w:t>
            </w:r>
            <w:r w:rsidR="00AE0F5C" w:rsidRPr="001B52B4">
              <w:rPr>
                <w:rFonts w:ascii="Aptos" w:hAnsi="Aptos"/>
                <w:b/>
                <w:bCs/>
                <w:color w:val="000000" w:themeColor="text1"/>
                <w:sz w:val="24"/>
                <w:szCs w:val="24"/>
              </w:rPr>
              <w:fldChar w:fldCharType="begin"/>
            </w:r>
            <w:r w:rsidR="00AE0F5C" w:rsidRPr="001B52B4">
              <w:rPr>
                <w:rFonts w:ascii="Aptos" w:hAnsi="Aptos"/>
                <w:b/>
                <w:bCs/>
                <w:color w:val="000000" w:themeColor="text1"/>
                <w:sz w:val="24"/>
                <w:szCs w:val="24"/>
              </w:rPr>
              <w:instrText xml:space="preserve"> NUMPAGES  </w:instrText>
            </w:r>
            <w:r w:rsidR="00AE0F5C" w:rsidRPr="001B52B4">
              <w:rPr>
                <w:rFonts w:ascii="Aptos" w:hAnsi="Aptos"/>
                <w:b/>
                <w:bCs/>
                <w:color w:val="000000" w:themeColor="text1"/>
                <w:sz w:val="24"/>
                <w:szCs w:val="24"/>
              </w:rPr>
              <w:fldChar w:fldCharType="separate"/>
            </w:r>
            <w:r w:rsidR="00AE0F5C" w:rsidRPr="001B52B4">
              <w:rPr>
                <w:rFonts w:ascii="Aptos" w:hAnsi="Aptos"/>
                <w:b/>
                <w:bCs/>
                <w:color w:val="000000" w:themeColor="text1"/>
                <w:sz w:val="24"/>
                <w:szCs w:val="24"/>
              </w:rPr>
              <w:t>8</w:t>
            </w:r>
            <w:r w:rsidR="00AE0F5C" w:rsidRPr="001B52B4">
              <w:rPr>
                <w:rFonts w:ascii="Aptos" w:hAnsi="Aptos"/>
                <w:b/>
                <w:bCs/>
                <w:color w:val="000000" w:themeColor="text1"/>
                <w:sz w:val="24"/>
                <w:szCs w:val="24"/>
              </w:rPr>
              <w:fldChar w:fldCharType="end"/>
            </w:r>
          </w:sdtContent>
        </w:sdt>
      </w:sdtContent>
    </w:sdt>
  </w:p>
  <w:p w14:paraId="2C51574A" w14:textId="195B6B86" w:rsidR="00D8390F" w:rsidRDefault="00D8390F">
    <w:pPr>
      <w:pStyle w:val="Footer"/>
      <w:jc w:val="right"/>
    </w:pPr>
    <w:r w:rsidRPr="001B52B4">
      <w:rPr>
        <w:rFonts w:ascii="Aptos" w:hAnsi="Aptos"/>
        <w:color w:val="595959" w:themeColor="text1" w:themeTint="A6"/>
        <w:sz w:val="24"/>
        <w:szCs w:val="24"/>
      </w:rPr>
      <w:tab/>
    </w:r>
    <w:r>
      <w:tab/>
    </w:r>
  </w:p>
  <w:p w14:paraId="1125F21F" w14:textId="25E51168" w:rsidR="00DE65E5" w:rsidRDefault="00DE65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2E313" w14:textId="77777777" w:rsidR="00A43702" w:rsidRDefault="00A43702" w:rsidP="00136BD7">
      <w:pPr>
        <w:spacing w:after="0" w:line="240" w:lineRule="auto"/>
      </w:pPr>
      <w:r>
        <w:separator/>
      </w:r>
    </w:p>
  </w:footnote>
  <w:footnote w:type="continuationSeparator" w:id="0">
    <w:p w14:paraId="33709322" w14:textId="77777777" w:rsidR="00A43702" w:rsidRDefault="00A43702" w:rsidP="00136BD7">
      <w:pPr>
        <w:spacing w:after="0" w:line="240" w:lineRule="auto"/>
      </w:pPr>
      <w:r>
        <w:continuationSeparator/>
      </w:r>
    </w:p>
  </w:footnote>
  <w:footnote w:type="continuationNotice" w:id="1">
    <w:p w14:paraId="441CA4C1" w14:textId="77777777" w:rsidR="00A43702" w:rsidRDefault="00A437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37A4" w14:textId="06644DB4" w:rsidR="00136BD7" w:rsidRPr="00136BD7" w:rsidRDefault="00136BD7" w:rsidP="00136BD7">
    <w:pPr>
      <w:tabs>
        <w:tab w:val="center" w:pos="4680"/>
        <w:tab w:val="right" w:pos="9360"/>
      </w:tabs>
      <w:spacing w:after="0" w:line="240" w:lineRule="auto"/>
      <w:jc w:val="center"/>
      <w:rPr>
        <w:rFonts w:ascii="Aptos" w:eastAsia="Aptos" w:hAnsi="Aptos" w:cs="Times New Roman"/>
        <w:kern w:val="2"/>
        <w:sz w:val="24"/>
        <w:szCs w:val="24"/>
        <w14:ligatures w14:val="standardContextual"/>
      </w:rPr>
    </w:pPr>
    <w:r w:rsidRPr="00136BD7">
      <w:rPr>
        <w:rFonts w:ascii="Calibri" w:eastAsia="Aptos" w:hAnsi="Calibri" w:cs="Calibri"/>
        <w:b/>
        <w:bCs/>
        <w:caps/>
        <w:kern w:val="2"/>
        <w:sz w:val="24"/>
        <w:szCs w:val="24"/>
        <w14:ligatures w14:val="standardContextual"/>
      </w:rPr>
      <w:t>G</w:t>
    </w:r>
    <w:r w:rsidR="00CF7F95">
      <w:rPr>
        <w:rFonts w:ascii="Calibri" w:eastAsia="Aptos" w:hAnsi="Calibri" w:cs="Calibri"/>
        <w:b/>
        <w:bCs/>
        <w:caps/>
        <w:kern w:val="2"/>
        <w:sz w:val="24"/>
        <w:szCs w:val="24"/>
        <w14:ligatures w14:val="standardContextual"/>
      </w:rPr>
      <w:t xml:space="preserve">eneral </w:t>
    </w:r>
    <w:r w:rsidRPr="00136BD7">
      <w:rPr>
        <w:rFonts w:ascii="Calibri" w:eastAsia="Aptos" w:hAnsi="Calibri" w:cs="Calibri"/>
        <w:b/>
        <w:bCs/>
        <w:caps/>
        <w:kern w:val="2"/>
        <w:sz w:val="24"/>
        <w:szCs w:val="24"/>
        <w14:ligatures w14:val="standardContextual"/>
      </w:rPr>
      <w:t>L</w:t>
    </w:r>
    <w:r w:rsidR="00CF7F95">
      <w:rPr>
        <w:rFonts w:ascii="Calibri" w:eastAsia="Aptos" w:hAnsi="Calibri" w:cs="Calibri"/>
        <w:b/>
        <w:bCs/>
        <w:caps/>
        <w:kern w:val="2"/>
        <w:sz w:val="24"/>
        <w:szCs w:val="24"/>
        <w14:ligatures w14:val="standardContextual"/>
      </w:rPr>
      <w:t xml:space="preserve">etter </w:t>
    </w:r>
    <w:r w:rsidRPr="00136BD7">
      <w:rPr>
        <w:rFonts w:ascii="Calibri" w:eastAsia="Aptos" w:hAnsi="Calibri" w:cs="Calibri"/>
        <w:b/>
        <w:bCs/>
        <w:caps/>
        <w:kern w:val="2"/>
        <w:sz w:val="24"/>
        <w:szCs w:val="24"/>
        <w14:ligatures w14:val="standardContextual"/>
      </w:rPr>
      <w:t>71</w:t>
    </w:r>
    <w:r w:rsidR="00CF7F95">
      <w:rPr>
        <w:rFonts w:ascii="Calibri" w:eastAsia="Aptos" w:hAnsi="Calibri" w:cs="Calibri"/>
        <w:b/>
        <w:bCs/>
        <w:caps/>
        <w:kern w:val="2"/>
        <w:sz w:val="24"/>
        <w:szCs w:val="24"/>
        <w14:ligatures w14:val="standardContextual"/>
      </w:rPr>
      <w:t xml:space="preserve"> (GL71)</w:t>
    </w:r>
    <w:r w:rsidRPr="00136BD7">
      <w:rPr>
        <w:rFonts w:ascii="Calibri" w:eastAsia="Aptos" w:hAnsi="Calibri" w:cs="Calibri"/>
        <w:b/>
        <w:bCs/>
        <w:caps/>
        <w:kern w:val="2"/>
        <w:sz w:val="24"/>
        <w:szCs w:val="24"/>
        <w14:ligatures w14:val="standardContextual"/>
      </w:rPr>
      <w:t xml:space="preserve"> Q</w:t>
    </w:r>
    <w:r w:rsidR="00F504BA">
      <w:rPr>
        <w:rFonts w:ascii="Calibri" w:eastAsia="Aptos" w:hAnsi="Calibri" w:cs="Calibri"/>
        <w:b/>
        <w:bCs/>
        <w:caps/>
        <w:kern w:val="2"/>
        <w:sz w:val="24"/>
        <w:szCs w:val="24"/>
        <w14:ligatures w14:val="standardContextual"/>
      </w:rPr>
      <w:t xml:space="preserve">UESTION </w:t>
    </w:r>
    <w:r w:rsidR="001C229F">
      <w:rPr>
        <w:rFonts w:ascii="Calibri" w:eastAsia="Aptos" w:hAnsi="Calibri" w:cs="Calibri"/>
        <w:b/>
        <w:bCs/>
        <w:caps/>
        <w:kern w:val="2"/>
        <w:sz w:val="24"/>
        <w:szCs w:val="24"/>
        <w14:ligatures w14:val="standardContextual"/>
      </w:rPr>
      <w:t>&amp;</w:t>
    </w:r>
    <w:r w:rsidR="00F504BA">
      <w:rPr>
        <w:rFonts w:ascii="Calibri" w:eastAsia="Aptos" w:hAnsi="Calibri" w:cs="Calibri"/>
        <w:b/>
        <w:bCs/>
        <w:caps/>
        <w:kern w:val="2"/>
        <w:sz w:val="24"/>
        <w:szCs w:val="24"/>
        <w14:ligatures w14:val="standardContextual"/>
      </w:rPr>
      <w:t xml:space="preserve"> </w:t>
    </w:r>
    <w:r w:rsidR="001C229F">
      <w:rPr>
        <w:rFonts w:ascii="Calibri" w:eastAsia="Aptos" w:hAnsi="Calibri" w:cs="Calibri"/>
        <w:b/>
        <w:bCs/>
        <w:caps/>
        <w:kern w:val="2"/>
        <w:sz w:val="24"/>
        <w:szCs w:val="24"/>
        <w14:ligatures w14:val="standardContextual"/>
      </w:rPr>
      <w:t>A</w:t>
    </w:r>
    <w:r w:rsidR="00F504BA">
      <w:rPr>
        <w:rFonts w:ascii="Calibri" w:eastAsia="Aptos" w:hAnsi="Calibri" w:cs="Calibri"/>
        <w:b/>
        <w:bCs/>
        <w:caps/>
        <w:kern w:val="2"/>
        <w:sz w:val="24"/>
        <w:szCs w:val="24"/>
        <w14:ligatures w14:val="standardContextual"/>
      </w:rPr>
      <w:t>NSWERS</w:t>
    </w:r>
    <w:r w:rsidR="00881927">
      <w:rPr>
        <w:rFonts w:ascii="Calibri" w:eastAsia="Aptos" w:hAnsi="Calibri" w:cs="Calibri"/>
        <w:b/>
        <w:bCs/>
        <w:caps/>
        <w:kern w:val="2"/>
        <w:sz w:val="24"/>
        <w:szCs w:val="24"/>
        <w14:ligatures w14:val="standardContextual"/>
      </w:rPr>
      <w:t xml:space="preserve"> as of </w:t>
    </w:r>
    <w:r w:rsidR="0010610E">
      <w:rPr>
        <w:rFonts w:ascii="Calibri" w:eastAsia="Aptos" w:hAnsi="Calibri" w:cs="Calibri"/>
        <w:b/>
        <w:bCs/>
        <w:caps/>
        <w:kern w:val="2"/>
        <w:sz w:val="24"/>
        <w:szCs w:val="24"/>
        <w14:ligatures w14:val="standardContextual"/>
      </w:rPr>
      <w:t>JU</w:t>
    </w:r>
    <w:r w:rsidR="00CB6FCB">
      <w:rPr>
        <w:rFonts w:ascii="Calibri" w:eastAsia="Aptos" w:hAnsi="Calibri" w:cs="Calibri"/>
        <w:b/>
        <w:bCs/>
        <w:caps/>
        <w:kern w:val="2"/>
        <w:sz w:val="24"/>
        <w:szCs w:val="24"/>
        <w14:ligatures w14:val="standardContextual"/>
      </w:rPr>
      <w:t>LY</w:t>
    </w:r>
    <w:r w:rsidR="0010610E">
      <w:rPr>
        <w:rFonts w:ascii="Calibri" w:eastAsia="Aptos" w:hAnsi="Calibri" w:cs="Calibri"/>
        <w:b/>
        <w:bCs/>
        <w:caps/>
        <w:kern w:val="2"/>
        <w:sz w:val="24"/>
        <w:szCs w:val="24"/>
        <w14:ligatures w14:val="standardContextual"/>
      </w:rPr>
      <w:t xml:space="preserve"> </w:t>
    </w:r>
    <w:r w:rsidR="00B53822">
      <w:rPr>
        <w:rFonts w:ascii="Calibri" w:eastAsia="Aptos" w:hAnsi="Calibri" w:cs="Calibri"/>
        <w:b/>
        <w:bCs/>
        <w:caps/>
        <w:kern w:val="2"/>
        <w:sz w:val="24"/>
        <w:szCs w:val="24"/>
        <w14:ligatures w14:val="standardContextual"/>
      </w:rPr>
      <w:t>1</w:t>
    </w:r>
    <w:r w:rsidR="007C08F8">
      <w:rPr>
        <w:rFonts w:ascii="Calibri" w:eastAsia="Aptos" w:hAnsi="Calibri" w:cs="Calibri"/>
        <w:b/>
        <w:bCs/>
        <w:caps/>
        <w:kern w:val="2"/>
        <w:sz w:val="24"/>
        <w:szCs w:val="24"/>
        <w14:ligatures w14:val="standardContextual"/>
      </w:rPr>
      <w:t>8</w:t>
    </w:r>
    <w:r w:rsidR="00B53822">
      <w:rPr>
        <w:rFonts w:ascii="Calibri" w:eastAsia="Aptos" w:hAnsi="Calibri" w:cs="Calibri"/>
        <w:b/>
        <w:bCs/>
        <w:caps/>
        <w:kern w:val="2"/>
        <w:sz w:val="24"/>
        <w:szCs w:val="24"/>
        <w14:ligatures w14:val="standardContextual"/>
      </w:rPr>
      <w:t xml:space="preserve">, </w:t>
    </w:r>
    <w:r w:rsidR="00881927">
      <w:rPr>
        <w:rFonts w:ascii="Calibri" w:eastAsia="Aptos" w:hAnsi="Calibri" w:cs="Calibri"/>
        <w:b/>
        <w:bCs/>
        <w:caps/>
        <w:kern w:val="2"/>
        <w:sz w:val="24"/>
        <w:szCs w:val="24"/>
        <w14:ligatures w14:val="standardContextual"/>
      </w:rPr>
      <w:t>2025</w:t>
    </w:r>
  </w:p>
  <w:p w14:paraId="109840DE" w14:textId="77777777" w:rsidR="00136BD7" w:rsidRDefault="00136B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4B5F37"/>
    <w:multiLevelType w:val="hybridMultilevel"/>
    <w:tmpl w:val="321A591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6087FD7"/>
    <w:multiLevelType w:val="hybridMultilevel"/>
    <w:tmpl w:val="02CA750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755" w:hanging="360"/>
      </w:pPr>
      <w:rPr>
        <w:rFonts w:ascii="Courier New" w:hAnsi="Courier New" w:cs="Courier New" w:hint="default"/>
      </w:rPr>
    </w:lvl>
    <w:lvl w:ilvl="2" w:tplc="FFFFFFFF" w:tentative="1">
      <w:start w:val="1"/>
      <w:numFmt w:val="bullet"/>
      <w:lvlText w:val=""/>
      <w:lvlJc w:val="left"/>
      <w:pPr>
        <w:ind w:left="2475" w:hanging="360"/>
      </w:pPr>
      <w:rPr>
        <w:rFonts w:ascii="Wingdings" w:hAnsi="Wingdings" w:hint="default"/>
      </w:rPr>
    </w:lvl>
    <w:lvl w:ilvl="3" w:tplc="FFFFFFFF" w:tentative="1">
      <w:start w:val="1"/>
      <w:numFmt w:val="bullet"/>
      <w:lvlText w:val=""/>
      <w:lvlJc w:val="left"/>
      <w:pPr>
        <w:ind w:left="3195" w:hanging="360"/>
      </w:pPr>
      <w:rPr>
        <w:rFonts w:ascii="Symbol" w:hAnsi="Symbol" w:hint="default"/>
      </w:rPr>
    </w:lvl>
    <w:lvl w:ilvl="4" w:tplc="FFFFFFFF" w:tentative="1">
      <w:start w:val="1"/>
      <w:numFmt w:val="bullet"/>
      <w:lvlText w:val="o"/>
      <w:lvlJc w:val="left"/>
      <w:pPr>
        <w:ind w:left="3915" w:hanging="360"/>
      </w:pPr>
      <w:rPr>
        <w:rFonts w:ascii="Courier New" w:hAnsi="Courier New" w:cs="Courier New" w:hint="default"/>
      </w:rPr>
    </w:lvl>
    <w:lvl w:ilvl="5" w:tplc="FFFFFFFF" w:tentative="1">
      <w:start w:val="1"/>
      <w:numFmt w:val="bullet"/>
      <w:lvlText w:val=""/>
      <w:lvlJc w:val="left"/>
      <w:pPr>
        <w:ind w:left="4635" w:hanging="360"/>
      </w:pPr>
      <w:rPr>
        <w:rFonts w:ascii="Wingdings" w:hAnsi="Wingdings" w:hint="default"/>
      </w:rPr>
    </w:lvl>
    <w:lvl w:ilvl="6" w:tplc="FFFFFFFF" w:tentative="1">
      <w:start w:val="1"/>
      <w:numFmt w:val="bullet"/>
      <w:lvlText w:val=""/>
      <w:lvlJc w:val="left"/>
      <w:pPr>
        <w:ind w:left="5355" w:hanging="360"/>
      </w:pPr>
      <w:rPr>
        <w:rFonts w:ascii="Symbol" w:hAnsi="Symbol" w:hint="default"/>
      </w:rPr>
    </w:lvl>
    <w:lvl w:ilvl="7" w:tplc="FFFFFFFF" w:tentative="1">
      <w:start w:val="1"/>
      <w:numFmt w:val="bullet"/>
      <w:lvlText w:val="o"/>
      <w:lvlJc w:val="left"/>
      <w:pPr>
        <w:ind w:left="6075" w:hanging="360"/>
      </w:pPr>
      <w:rPr>
        <w:rFonts w:ascii="Courier New" w:hAnsi="Courier New" w:cs="Courier New" w:hint="default"/>
      </w:rPr>
    </w:lvl>
    <w:lvl w:ilvl="8" w:tplc="FFFFFFFF" w:tentative="1">
      <w:start w:val="1"/>
      <w:numFmt w:val="bullet"/>
      <w:lvlText w:val=""/>
      <w:lvlJc w:val="left"/>
      <w:pPr>
        <w:ind w:left="6795" w:hanging="360"/>
      </w:pPr>
      <w:rPr>
        <w:rFonts w:ascii="Wingdings" w:hAnsi="Wingdings" w:hint="default"/>
      </w:rPr>
    </w:lvl>
  </w:abstractNum>
  <w:abstractNum w:abstractNumId="8" w15:restartNumberingAfterBreak="0">
    <w:nsid w:val="06661A3D"/>
    <w:multiLevelType w:val="hybridMultilevel"/>
    <w:tmpl w:val="8CAC36A8"/>
    <w:lvl w:ilvl="0" w:tplc="241218D2">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A09306B"/>
    <w:multiLevelType w:val="hybridMultilevel"/>
    <w:tmpl w:val="8A30F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A33696B"/>
    <w:multiLevelType w:val="hybridMultilevel"/>
    <w:tmpl w:val="718ED098"/>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2115" w:hanging="360"/>
      </w:pPr>
      <w:rPr>
        <w:rFonts w:ascii="Courier New" w:hAnsi="Courier New" w:cs="Courier New" w:hint="default"/>
      </w:rPr>
    </w:lvl>
    <w:lvl w:ilvl="2" w:tplc="FFFFFFFF" w:tentative="1">
      <w:start w:val="1"/>
      <w:numFmt w:val="bullet"/>
      <w:lvlText w:val=""/>
      <w:lvlJc w:val="left"/>
      <w:pPr>
        <w:ind w:left="2835" w:hanging="360"/>
      </w:pPr>
      <w:rPr>
        <w:rFonts w:ascii="Wingdings" w:hAnsi="Wingdings" w:hint="default"/>
      </w:rPr>
    </w:lvl>
    <w:lvl w:ilvl="3" w:tplc="FFFFFFFF" w:tentative="1">
      <w:start w:val="1"/>
      <w:numFmt w:val="bullet"/>
      <w:lvlText w:val=""/>
      <w:lvlJc w:val="left"/>
      <w:pPr>
        <w:ind w:left="3555" w:hanging="360"/>
      </w:pPr>
      <w:rPr>
        <w:rFonts w:ascii="Symbol" w:hAnsi="Symbol" w:hint="default"/>
      </w:rPr>
    </w:lvl>
    <w:lvl w:ilvl="4" w:tplc="FFFFFFFF" w:tentative="1">
      <w:start w:val="1"/>
      <w:numFmt w:val="bullet"/>
      <w:lvlText w:val="o"/>
      <w:lvlJc w:val="left"/>
      <w:pPr>
        <w:ind w:left="4275" w:hanging="360"/>
      </w:pPr>
      <w:rPr>
        <w:rFonts w:ascii="Courier New" w:hAnsi="Courier New" w:cs="Courier New" w:hint="default"/>
      </w:rPr>
    </w:lvl>
    <w:lvl w:ilvl="5" w:tplc="FFFFFFFF" w:tentative="1">
      <w:start w:val="1"/>
      <w:numFmt w:val="bullet"/>
      <w:lvlText w:val=""/>
      <w:lvlJc w:val="left"/>
      <w:pPr>
        <w:ind w:left="4995" w:hanging="360"/>
      </w:pPr>
      <w:rPr>
        <w:rFonts w:ascii="Wingdings" w:hAnsi="Wingdings" w:hint="default"/>
      </w:rPr>
    </w:lvl>
    <w:lvl w:ilvl="6" w:tplc="FFFFFFFF" w:tentative="1">
      <w:start w:val="1"/>
      <w:numFmt w:val="bullet"/>
      <w:lvlText w:val=""/>
      <w:lvlJc w:val="left"/>
      <w:pPr>
        <w:ind w:left="5715" w:hanging="360"/>
      </w:pPr>
      <w:rPr>
        <w:rFonts w:ascii="Symbol" w:hAnsi="Symbol" w:hint="default"/>
      </w:rPr>
    </w:lvl>
    <w:lvl w:ilvl="7" w:tplc="FFFFFFFF" w:tentative="1">
      <w:start w:val="1"/>
      <w:numFmt w:val="bullet"/>
      <w:lvlText w:val="o"/>
      <w:lvlJc w:val="left"/>
      <w:pPr>
        <w:ind w:left="6435" w:hanging="360"/>
      </w:pPr>
      <w:rPr>
        <w:rFonts w:ascii="Courier New" w:hAnsi="Courier New" w:cs="Courier New" w:hint="default"/>
      </w:rPr>
    </w:lvl>
    <w:lvl w:ilvl="8" w:tplc="FFFFFFFF" w:tentative="1">
      <w:start w:val="1"/>
      <w:numFmt w:val="bullet"/>
      <w:lvlText w:val=""/>
      <w:lvlJc w:val="left"/>
      <w:pPr>
        <w:ind w:left="7155" w:hanging="360"/>
      </w:pPr>
      <w:rPr>
        <w:rFonts w:ascii="Wingdings" w:hAnsi="Wingdings" w:hint="default"/>
      </w:rPr>
    </w:lvl>
  </w:abstractNum>
  <w:abstractNum w:abstractNumId="11" w15:restartNumberingAfterBreak="0">
    <w:nsid w:val="0CB24D02"/>
    <w:multiLevelType w:val="hybridMultilevel"/>
    <w:tmpl w:val="56B82590"/>
    <w:lvl w:ilvl="0" w:tplc="825ED9F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2044D33"/>
    <w:multiLevelType w:val="hybridMultilevel"/>
    <w:tmpl w:val="97566888"/>
    <w:lvl w:ilvl="0" w:tplc="D3D08EFE">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ED0C7F"/>
    <w:multiLevelType w:val="hybridMultilevel"/>
    <w:tmpl w:val="27380BB6"/>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63D55BA"/>
    <w:multiLevelType w:val="hybridMultilevel"/>
    <w:tmpl w:val="F7EEECF4"/>
    <w:lvl w:ilvl="0" w:tplc="AC28E886">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E3C14"/>
    <w:multiLevelType w:val="multilevel"/>
    <w:tmpl w:val="29E6D6A4"/>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1B565769"/>
    <w:multiLevelType w:val="hybridMultilevel"/>
    <w:tmpl w:val="2708D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06123B"/>
    <w:multiLevelType w:val="hybridMultilevel"/>
    <w:tmpl w:val="DA8479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476F4E"/>
    <w:multiLevelType w:val="hybridMultilevel"/>
    <w:tmpl w:val="02CA750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755" w:hanging="360"/>
      </w:pPr>
      <w:rPr>
        <w:rFonts w:ascii="Courier New" w:hAnsi="Courier New" w:cs="Courier New" w:hint="default"/>
      </w:rPr>
    </w:lvl>
    <w:lvl w:ilvl="2" w:tplc="FFFFFFFF" w:tentative="1">
      <w:start w:val="1"/>
      <w:numFmt w:val="bullet"/>
      <w:lvlText w:val=""/>
      <w:lvlJc w:val="left"/>
      <w:pPr>
        <w:ind w:left="2475" w:hanging="360"/>
      </w:pPr>
      <w:rPr>
        <w:rFonts w:ascii="Wingdings" w:hAnsi="Wingdings" w:hint="default"/>
      </w:rPr>
    </w:lvl>
    <w:lvl w:ilvl="3" w:tplc="FFFFFFFF" w:tentative="1">
      <w:start w:val="1"/>
      <w:numFmt w:val="bullet"/>
      <w:lvlText w:val=""/>
      <w:lvlJc w:val="left"/>
      <w:pPr>
        <w:ind w:left="3195" w:hanging="360"/>
      </w:pPr>
      <w:rPr>
        <w:rFonts w:ascii="Symbol" w:hAnsi="Symbol" w:hint="default"/>
      </w:rPr>
    </w:lvl>
    <w:lvl w:ilvl="4" w:tplc="FFFFFFFF" w:tentative="1">
      <w:start w:val="1"/>
      <w:numFmt w:val="bullet"/>
      <w:lvlText w:val="o"/>
      <w:lvlJc w:val="left"/>
      <w:pPr>
        <w:ind w:left="3915" w:hanging="360"/>
      </w:pPr>
      <w:rPr>
        <w:rFonts w:ascii="Courier New" w:hAnsi="Courier New" w:cs="Courier New" w:hint="default"/>
      </w:rPr>
    </w:lvl>
    <w:lvl w:ilvl="5" w:tplc="FFFFFFFF" w:tentative="1">
      <w:start w:val="1"/>
      <w:numFmt w:val="bullet"/>
      <w:lvlText w:val=""/>
      <w:lvlJc w:val="left"/>
      <w:pPr>
        <w:ind w:left="4635" w:hanging="360"/>
      </w:pPr>
      <w:rPr>
        <w:rFonts w:ascii="Wingdings" w:hAnsi="Wingdings" w:hint="default"/>
      </w:rPr>
    </w:lvl>
    <w:lvl w:ilvl="6" w:tplc="FFFFFFFF" w:tentative="1">
      <w:start w:val="1"/>
      <w:numFmt w:val="bullet"/>
      <w:lvlText w:val=""/>
      <w:lvlJc w:val="left"/>
      <w:pPr>
        <w:ind w:left="5355" w:hanging="360"/>
      </w:pPr>
      <w:rPr>
        <w:rFonts w:ascii="Symbol" w:hAnsi="Symbol" w:hint="default"/>
      </w:rPr>
    </w:lvl>
    <w:lvl w:ilvl="7" w:tplc="FFFFFFFF" w:tentative="1">
      <w:start w:val="1"/>
      <w:numFmt w:val="bullet"/>
      <w:lvlText w:val="o"/>
      <w:lvlJc w:val="left"/>
      <w:pPr>
        <w:ind w:left="6075" w:hanging="360"/>
      </w:pPr>
      <w:rPr>
        <w:rFonts w:ascii="Courier New" w:hAnsi="Courier New" w:cs="Courier New" w:hint="default"/>
      </w:rPr>
    </w:lvl>
    <w:lvl w:ilvl="8" w:tplc="FFFFFFFF" w:tentative="1">
      <w:start w:val="1"/>
      <w:numFmt w:val="bullet"/>
      <w:lvlText w:val=""/>
      <w:lvlJc w:val="left"/>
      <w:pPr>
        <w:ind w:left="6795" w:hanging="360"/>
      </w:pPr>
      <w:rPr>
        <w:rFonts w:ascii="Wingdings" w:hAnsi="Wingdings" w:hint="default"/>
      </w:rPr>
    </w:lvl>
  </w:abstractNum>
  <w:abstractNum w:abstractNumId="19" w15:restartNumberingAfterBreak="0">
    <w:nsid w:val="21B3138D"/>
    <w:multiLevelType w:val="hybridMultilevel"/>
    <w:tmpl w:val="71C87396"/>
    <w:lvl w:ilvl="0" w:tplc="04090019">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0" w15:restartNumberingAfterBreak="0">
    <w:nsid w:val="25270E3F"/>
    <w:multiLevelType w:val="hybridMultilevel"/>
    <w:tmpl w:val="2398CF8A"/>
    <w:lvl w:ilvl="0" w:tplc="8988C02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91A032A"/>
    <w:multiLevelType w:val="hybridMultilevel"/>
    <w:tmpl w:val="9D28A7EE"/>
    <w:lvl w:ilvl="0" w:tplc="BEDA4C5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F42DA8"/>
    <w:multiLevelType w:val="hybridMultilevel"/>
    <w:tmpl w:val="63485D0A"/>
    <w:lvl w:ilvl="0" w:tplc="FFFFFFFF">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A621D69"/>
    <w:multiLevelType w:val="hybridMultilevel"/>
    <w:tmpl w:val="C0FE663C"/>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D2B761E"/>
    <w:multiLevelType w:val="hybridMultilevel"/>
    <w:tmpl w:val="491E80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77F4932"/>
    <w:multiLevelType w:val="hybridMultilevel"/>
    <w:tmpl w:val="8C40FC72"/>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8C17C2E"/>
    <w:multiLevelType w:val="hybridMultilevel"/>
    <w:tmpl w:val="BB204398"/>
    <w:lvl w:ilvl="0" w:tplc="B0342D7C">
      <w:start w:val="1"/>
      <w:numFmt w:val="lowerLetter"/>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BDC32EA"/>
    <w:multiLevelType w:val="hybridMultilevel"/>
    <w:tmpl w:val="F8D214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C56ED5"/>
    <w:multiLevelType w:val="hybridMultilevel"/>
    <w:tmpl w:val="25FA6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557B24"/>
    <w:multiLevelType w:val="hybridMultilevel"/>
    <w:tmpl w:val="EE90A032"/>
    <w:lvl w:ilvl="0" w:tplc="AC28E886">
      <w:start w:val="1"/>
      <w:numFmt w:val="low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FC77D5E"/>
    <w:multiLevelType w:val="hybridMultilevel"/>
    <w:tmpl w:val="0E16DEBE"/>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755" w:hanging="360"/>
      </w:pPr>
      <w:rPr>
        <w:rFonts w:ascii="Courier New" w:hAnsi="Courier New" w:cs="Courier New" w:hint="default"/>
      </w:rPr>
    </w:lvl>
    <w:lvl w:ilvl="2" w:tplc="FFFFFFFF" w:tentative="1">
      <w:start w:val="1"/>
      <w:numFmt w:val="bullet"/>
      <w:lvlText w:val=""/>
      <w:lvlJc w:val="left"/>
      <w:pPr>
        <w:ind w:left="2475" w:hanging="360"/>
      </w:pPr>
      <w:rPr>
        <w:rFonts w:ascii="Wingdings" w:hAnsi="Wingdings" w:hint="default"/>
      </w:rPr>
    </w:lvl>
    <w:lvl w:ilvl="3" w:tplc="FFFFFFFF" w:tentative="1">
      <w:start w:val="1"/>
      <w:numFmt w:val="bullet"/>
      <w:lvlText w:val=""/>
      <w:lvlJc w:val="left"/>
      <w:pPr>
        <w:ind w:left="3195" w:hanging="360"/>
      </w:pPr>
      <w:rPr>
        <w:rFonts w:ascii="Symbol" w:hAnsi="Symbol" w:hint="default"/>
      </w:rPr>
    </w:lvl>
    <w:lvl w:ilvl="4" w:tplc="FFFFFFFF" w:tentative="1">
      <w:start w:val="1"/>
      <w:numFmt w:val="bullet"/>
      <w:lvlText w:val="o"/>
      <w:lvlJc w:val="left"/>
      <w:pPr>
        <w:ind w:left="3915" w:hanging="360"/>
      </w:pPr>
      <w:rPr>
        <w:rFonts w:ascii="Courier New" w:hAnsi="Courier New" w:cs="Courier New" w:hint="default"/>
      </w:rPr>
    </w:lvl>
    <w:lvl w:ilvl="5" w:tplc="FFFFFFFF" w:tentative="1">
      <w:start w:val="1"/>
      <w:numFmt w:val="bullet"/>
      <w:lvlText w:val=""/>
      <w:lvlJc w:val="left"/>
      <w:pPr>
        <w:ind w:left="4635" w:hanging="360"/>
      </w:pPr>
      <w:rPr>
        <w:rFonts w:ascii="Wingdings" w:hAnsi="Wingdings" w:hint="default"/>
      </w:rPr>
    </w:lvl>
    <w:lvl w:ilvl="6" w:tplc="FFFFFFFF" w:tentative="1">
      <w:start w:val="1"/>
      <w:numFmt w:val="bullet"/>
      <w:lvlText w:val=""/>
      <w:lvlJc w:val="left"/>
      <w:pPr>
        <w:ind w:left="5355" w:hanging="360"/>
      </w:pPr>
      <w:rPr>
        <w:rFonts w:ascii="Symbol" w:hAnsi="Symbol" w:hint="default"/>
      </w:rPr>
    </w:lvl>
    <w:lvl w:ilvl="7" w:tplc="FFFFFFFF" w:tentative="1">
      <w:start w:val="1"/>
      <w:numFmt w:val="bullet"/>
      <w:lvlText w:val="o"/>
      <w:lvlJc w:val="left"/>
      <w:pPr>
        <w:ind w:left="6075" w:hanging="360"/>
      </w:pPr>
      <w:rPr>
        <w:rFonts w:ascii="Courier New" w:hAnsi="Courier New" w:cs="Courier New" w:hint="default"/>
      </w:rPr>
    </w:lvl>
    <w:lvl w:ilvl="8" w:tplc="FFFFFFFF" w:tentative="1">
      <w:start w:val="1"/>
      <w:numFmt w:val="bullet"/>
      <w:lvlText w:val=""/>
      <w:lvlJc w:val="left"/>
      <w:pPr>
        <w:ind w:left="6795" w:hanging="360"/>
      </w:pPr>
      <w:rPr>
        <w:rFonts w:ascii="Wingdings" w:hAnsi="Wingdings" w:hint="default"/>
      </w:rPr>
    </w:lvl>
  </w:abstractNum>
  <w:abstractNum w:abstractNumId="31" w15:restartNumberingAfterBreak="0">
    <w:nsid w:val="4135596F"/>
    <w:multiLevelType w:val="hybridMultilevel"/>
    <w:tmpl w:val="C55A81AE"/>
    <w:lvl w:ilvl="0" w:tplc="04090019">
      <w:start w:val="1"/>
      <w:numFmt w:val="lowerLetter"/>
      <w:lvlText w:val="%1."/>
      <w:lvlJc w:val="left"/>
      <w:pPr>
        <w:ind w:left="720" w:hanging="360"/>
      </w:pPr>
      <w:rPr>
        <w:rFonts w:hint="default"/>
      </w:rPr>
    </w:lvl>
    <w:lvl w:ilvl="1" w:tplc="FFFFFFFF">
      <w:start w:val="1"/>
      <w:numFmt w:val="bullet"/>
      <w:lvlText w:val="o"/>
      <w:lvlJc w:val="left"/>
      <w:pPr>
        <w:ind w:left="1755" w:hanging="360"/>
      </w:pPr>
      <w:rPr>
        <w:rFonts w:ascii="Courier New" w:hAnsi="Courier New" w:cs="Courier New" w:hint="default"/>
      </w:rPr>
    </w:lvl>
    <w:lvl w:ilvl="2" w:tplc="FFFFFFFF" w:tentative="1">
      <w:start w:val="1"/>
      <w:numFmt w:val="bullet"/>
      <w:lvlText w:val=""/>
      <w:lvlJc w:val="left"/>
      <w:pPr>
        <w:ind w:left="2475" w:hanging="360"/>
      </w:pPr>
      <w:rPr>
        <w:rFonts w:ascii="Wingdings" w:hAnsi="Wingdings" w:hint="default"/>
      </w:rPr>
    </w:lvl>
    <w:lvl w:ilvl="3" w:tplc="FFFFFFFF" w:tentative="1">
      <w:start w:val="1"/>
      <w:numFmt w:val="bullet"/>
      <w:lvlText w:val=""/>
      <w:lvlJc w:val="left"/>
      <w:pPr>
        <w:ind w:left="3195" w:hanging="360"/>
      </w:pPr>
      <w:rPr>
        <w:rFonts w:ascii="Symbol" w:hAnsi="Symbol" w:hint="default"/>
      </w:rPr>
    </w:lvl>
    <w:lvl w:ilvl="4" w:tplc="FFFFFFFF" w:tentative="1">
      <w:start w:val="1"/>
      <w:numFmt w:val="bullet"/>
      <w:lvlText w:val="o"/>
      <w:lvlJc w:val="left"/>
      <w:pPr>
        <w:ind w:left="3915" w:hanging="360"/>
      </w:pPr>
      <w:rPr>
        <w:rFonts w:ascii="Courier New" w:hAnsi="Courier New" w:cs="Courier New" w:hint="default"/>
      </w:rPr>
    </w:lvl>
    <w:lvl w:ilvl="5" w:tplc="FFFFFFFF" w:tentative="1">
      <w:start w:val="1"/>
      <w:numFmt w:val="bullet"/>
      <w:lvlText w:val=""/>
      <w:lvlJc w:val="left"/>
      <w:pPr>
        <w:ind w:left="4635" w:hanging="360"/>
      </w:pPr>
      <w:rPr>
        <w:rFonts w:ascii="Wingdings" w:hAnsi="Wingdings" w:hint="default"/>
      </w:rPr>
    </w:lvl>
    <w:lvl w:ilvl="6" w:tplc="FFFFFFFF" w:tentative="1">
      <w:start w:val="1"/>
      <w:numFmt w:val="bullet"/>
      <w:lvlText w:val=""/>
      <w:lvlJc w:val="left"/>
      <w:pPr>
        <w:ind w:left="5355" w:hanging="360"/>
      </w:pPr>
      <w:rPr>
        <w:rFonts w:ascii="Symbol" w:hAnsi="Symbol" w:hint="default"/>
      </w:rPr>
    </w:lvl>
    <w:lvl w:ilvl="7" w:tplc="FFFFFFFF" w:tentative="1">
      <w:start w:val="1"/>
      <w:numFmt w:val="bullet"/>
      <w:lvlText w:val="o"/>
      <w:lvlJc w:val="left"/>
      <w:pPr>
        <w:ind w:left="6075" w:hanging="360"/>
      </w:pPr>
      <w:rPr>
        <w:rFonts w:ascii="Courier New" w:hAnsi="Courier New" w:cs="Courier New" w:hint="default"/>
      </w:rPr>
    </w:lvl>
    <w:lvl w:ilvl="8" w:tplc="FFFFFFFF" w:tentative="1">
      <w:start w:val="1"/>
      <w:numFmt w:val="bullet"/>
      <w:lvlText w:val=""/>
      <w:lvlJc w:val="left"/>
      <w:pPr>
        <w:ind w:left="6795" w:hanging="360"/>
      </w:pPr>
      <w:rPr>
        <w:rFonts w:ascii="Wingdings" w:hAnsi="Wingdings" w:hint="default"/>
      </w:rPr>
    </w:lvl>
  </w:abstractNum>
  <w:abstractNum w:abstractNumId="32" w15:restartNumberingAfterBreak="0">
    <w:nsid w:val="430C5F67"/>
    <w:multiLevelType w:val="hybridMultilevel"/>
    <w:tmpl w:val="3720289A"/>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2115" w:hanging="360"/>
      </w:pPr>
      <w:rPr>
        <w:rFonts w:ascii="Courier New" w:hAnsi="Courier New" w:cs="Courier New" w:hint="default"/>
      </w:rPr>
    </w:lvl>
    <w:lvl w:ilvl="2" w:tplc="FFFFFFFF" w:tentative="1">
      <w:start w:val="1"/>
      <w:numFmt w:val="bullet"/>
      <w:lvlText w:val=""/>
      <w:lvlJc w:val="left"/>
      <w:pPr>
        <w:ind w:left="2835" w:hanging="360"/>
      </w:pPr>
      <w:rPr>
        <w:rFonts w:ascii="Wingdings" w:hAnsi="Wingdings" w:hint="default"/>
      </w:rPr>
    </w:lvl>
    <w:lvl w:ilvl="3" w:tplc="FFFFFFFF" w:tentative="1">
      <w:start w:val="1"/>
      <w:numFmt w:val="bullet"/>
      <w:lvlText w:val=""/>
      <w:lvlJc w:val="left"/>
      <w:pPr>
        <w:ind w:left="3555" w:hanging="360"/>
      </w:pPr>
      <w:rPr>
        <w:rFonts w:ascii="Symbol" w:hAnsi="Symbol" w:hint="default"/>
      </w:rPr>
    </w:lvl>
    <w:lvl w:ilvl="4" w:tplc="FFFFFFFF" w:tentative="1">
      <w:start w:val="1"/>
      <w:numFmt w:val="bullet"/>
      <w:lvlText w:val="o"/>
      <w:lvlJc w:val="left"/>
      <w:pPr>
        <w:ind w:left="4275" w:hanging="360"/>
      </w:pPr>
      <w:rPr>
        <w:rFonts w:ascii="Courier New" w:hAnsi="Courier New" w:cs="Courier New" w:hint="default"/>
      </w:rPr>
    </w:lvl>
    <w:lvl w:ilvl="5" w:tplc="FFFFFFFF" w:tentative="1">
      <w:start w:val="1"/>
      <w:numFmt w:val="bullet"/>
      <w:lvlText w:val=""/>
      <w:lvlJc w:val="left"/>
      <w:pPr>
        <w:ind w:left="4995" w:hanging="360"/>
      </w:pPr>
      <w:rPr>
        <w:rFonts w:ascii="Wingdings" w:hAnsi="Wingdings" w:hint="default"/>
      </w:rPr>
    </w:lvl>
    <w:lvl w:ilvl="6" w:tplc="FFFFFFFF" w:tentative="1">
      <w:start w:val="1"/>
      <w:numFmt w:val="bullet"/>
      <w:lvlText w:val=""/>
      <w:lvlJc w:val="left"/>
      <w:pPr>
        <w:ind w:left="5715" w:hanging="360"/>
      </w:pPr>
      <w:rPr>
        <w:rFonts w:ascii="Symbol" w:hAnsi="Symbol" w:hint="default"/>
      </w:rPr>
    </w:lvl>
    <w:lvl w:ilvl="7" w:tplc="FFFFFFFF" w:tentative="1">
      <w:start w:val="1"/>
      <w:numFmt w:val="bullet"/>
      <w:lvlText w:val="o"/>
      <w:lvlJc w:val="left"/>
      <w:pPr>
        <w:ind w:left="6435" w:hanging="360"/>
      </w:pPr>
      <w:rPr>
        <w:rFonts w:ascii="Courier New" w:hAnsi="Courier New" w:cs="Courier New" w:hint="default"/>
      </w:rPr>
    </w:lvl>
    <w:lvl w:ilvl="8" w:tplc="FFFFFFFF" w:tentative="1">
      <w:start w:val="1"/>
      <w:numFmt w:val="bullet"/>
      <w:lvlText w:val=""/>
      <w:lvlJc w:val="left"/>
      <w:pPr>
        <w:ind w:left="7155" w:hanging="360"/>
      </w:pPr>
      <w:rPr>
        <w:rFonts w:ascii="Wingdings" w:hAnsi="Wingdings" w:hint="default"/>
      </w:rPr>
    </w:lvl>
  </w:abstractNum>
  <w:abstractNum w:abstractNumId="33" w15:restartNumberingAfterBreak="0">
    <w:nsid w:val="4476183D"/>
    <w:multiLevelType w:val="hybridMultilevel"/>
    <w:tmpl w:val="0FC2D1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4A376FA1"/>
    <w:multiLevelType w:val="hybridMultilevel"/>
    <w:tmpl w:val="6FB056CC"/>
    <w:lvl w:ilvl="0" w:tplc="0409000F">
      <w:start w:val="1"/>
      <w:numFmt w:val="decimal"/>
      <w:lvlText w:val="%1."/>
      <w:lvlJc w:val="left"/>
      <w:pPr>
        <w:ind w:left="360" w:hanging="360"/>
      </w:pPr>
    </w:lvl>
    <w:lvl w:ilvl="1" w:tplc="252EA8C0">
      <w:start w:val="1"/>
      <w:numFmt w:val="lowerLetter"/>
      <w:lvlText w:val="%2."/>
      <w:lvlJc w:val="left"/>
      <w:pPr>
        <w:ind w:left="1080" w:hanging="360"/>
      </w:pPr>
      <w:rPr>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FCE457D"/>
    <w:multiLevelType w:val="hybridMultilevel"/>
    <w:tmpl w:val="2A267F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3EB34E1"/>
    <w:multiLevelType w:val="hybridMultilevel"/>
    <w:tmpl w:val="6E6CA8DA"/>
    <w:lvl w:ilvl="0" w:tplc="AC28E886">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B2579A"/>
    <w:multiLevelType w:val="multilevel"/>
    <w:tmpl w:val="E2A45BB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5CDC3AA7"/>
    <w:multiLevelType w:val="hybridMultilevel"/>
    <w:tmpl w:val="79180400"/>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C5A77CF"/>
    <w:multiLevelType w:val="hybridMultilevel"/>
    <w:tmpl w:val="0BFE8C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C681687"/>
    <w:multiLevelType w:val="hybridMultilevel"/>
    <w:tmpl w:val="9D4E5760"/>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2115" w:hanging="360"/>
      </w:pPr>
      <w:rPr>
        <w:rFonts w:ascii="Courier New" w:hAnsi="Courier New" w:cs="Courier New" w:hint="default"/>
      </w:rPr>
    </w:lvl>
    <w:lvl w:ilvl="2" w:tplc="FFFFFFFF" w:tentative="1">
      <w:start w:val="1"/>
      <w:numFmt w:val="bullet"/>
      <w:lvlText w:val=""/>
      <w:lvlJc w:val="left"/>
      <w:pPr>
        <w:ind w:left="2835" w:hanging="360"/>
      </w:pPr>
      <w:rPr>
        <w:rFonts w:ascii="Wingdings" w:hAnsi="Wingdings" w:hint="default"/>
      </w:rPr>
    </w:lvl>
    <w:lvl w:ilvl="3" w:tplc="FFFFFFFF" w:tentative="1">
      <w:start w:val="1"/>
      <w:numFmt w:val="bullet"/>
      <w:lvlText w:val=""/>
      <w:lvlJc w:val="left"/>
      <w:pPr>
        <w:ind w:left="3555" w:hanging="360"/>
      </w:pPr>
      <w:rPr>
        <w:rFonts w:ascii="Symbol" w:hAnsi="Symbol" w:hint="default"/>
      </w:rPr>
    </w:lvl>
    <w:lvl w:ilvl="4" w:tplc="FFFFFFFF" w:tentative="1">
      <w:start w:val="1"/>
      <w:numFmt w:val="bullet"/>
      <w:lvlText w:val="o"/>
      <w:lvlJc w:val="left"/>
      <w:pPr>
        <w:ind w:left="4275" w:hanging="360"/>
      </w:pPr>
      <w:rPr>
        <w:rFonts w:ascii="Courier New" w:hAnsi="Courier New" w:cs="Courier New" w:hint="default"/>
      </w:rPr>
    </w:lvl>
    <w:lvl w:ilvl="5" w:tplc="FFFFFFFF" w:tentative="1">
      <w:start w:val="1"/>
      <w:numFmt w:val="bullet"/>
      <w:lvlText w:val=""/>
      <w:lvlJc w:val="left"/>
      <w:pPr>
        <w:ind w:left="4995" w:hanging="360"/>
      </w:pPr>
      <w:rPr>
        <w:rFonts w:ascii="Wingdings" w:hAnsi="Wingdings" w:hint="default"/>
      </w:rPr>
    </w:lvl>
    <w:lvl w:ilvl="6" w:tplc="FFFFFFFF" w:tentative="1">
      <w:start w:val="1"/>
      <w:numFmt w:val="bullet"/>
      <w:lvlText w:val=""/>
      <w:lvlJc w:val="left"/>
      <w:pPr>
        <w:ind w:left="5715" w:hanging="360"/>
      </w:pPr>
      <w:rPr>
        <w:rFonts w:ascii="Symbol" w:hAnsi="Symbol" w:hint="default"/>
      </w:rPr>
    </w:lvl>
    <w:lvl w:ilvl="7" w:tplc="FFFFFFFF" w:tentative="1">
      <w:start w:val="1"/>
      <w:numFmt w:val="bullet"/>
      <w:lvlText w:val="o"/>
      <w:lvlJc w:val="left"/>
      <w:pPr>
        <w:ind w:left="6435" w:hanging="360"/>
      </w:pPr>
      <w:rPr>
        <w:rFonts w:ascii="Courier New" w:hAnsi="Courier New" w:cs="Courier New" w:hint="default"/>
      </w:rPr>
    </w:lvl>
    <w:lvl w:ilvl="8" w:tplc="FFFFFFFF" w:tentative="1">
      <w:start w:val="1"/>
      <w:numFmt w:val="bullet"/>
      <w:lvlText w:val=""/>
      <w:lvlJc w:val="left"/>
      <w:pPr>
        <w:ind w:left="7155" w:hanging="360"/>
      </w:pPr>
      <w:rPr>
        <w:rFonts w:ascii="Wingdings" w:hAnsi="Wingdings" w:hint="default"/>
      </w:rPr>
    </w:lvl>
  </w:abstractNum>
  <w:abstractNum w:abstractNumId="41" w15:restartNumberingAfterBreak="0">
    <w:nsid w:val="704545E7"/>
    <w:multiLevelType w:val="hybridMultilevel"/>
    <w:tmpl w:val="73D07606"/>
    <w:lvl w:ilvl="0" w:tplc="825ED9F2">
      <w:start w:val="1"/>
      <w:numFmt w:val="bullet"/>
      <w:lvlText w:val=""/>
      <w:lvlJc w:val="left"/>
      <w:pPr>
        <w:ind w:left="144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5F60DA"/>
    <w:multiLevelType w:val="hybridMultilevel"/>
    <w:tmpl w:val="18B4F002"/>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3" w15:restartNumberingAfterBreak="0">
    <w:nsid w:val="73AA0EA5"/>
    <w:multiLevelType w:val="hybridMultilevel"/>
    <w:tmpl w:val="6AC0D70C"/>
    <w:lvl w:ilvl="0" w:tplc="FFFFFFFF">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312806">
    <w:abstractNumId w:val="5"/>
  </w:num>
  <w:num w:numId="2" w16cid:durableId="364906663">
    <w:abstractNumId w:val="3"/>
  </w:num>
  <w:num w:numId="3" w16cid:durableId="842628369">
    <w:abstractNumId w:val="2"/>
  </w:num>
  <w:num w:numId="4" w16cid:durableId="1351419234">
    <w:abstractNumId w:val="4"/>
  </w:num>
  <w:num w:numId="5" w16cid:durableId="709188966">
    <w:abstractNumId w:val="1"/>
  </w:num>
  <w:num w:numId="6" w16cid:durableId="1289815745">
    <w:abstractNumId w:val="0"/>
  </w:num>
  <w:num w:numId="7" w16cid:durableId="370034223">
    <w:abstractNumId w:val="34"/>
  </w:num>
  <w:num w:numId="8" w16cid:durableId="43064090">
    <w:abstractNumId w:val="23"/>
  </w:num>
  <w:num w:numId="9" w16cid:durableId="997609931">
    <w:abstractNumId w:val="26"/>
  </w:num>
  <w:num w:numId="10" w16cid:durableId="815997163">
    <w:abstractNumId w:val="12"/>
  </w:num>
  <w:num w:numId="11" w16cid:durableId="600265980">
    <w:abstractNumId w:val="19"/>
  </w:num>
  <w:num w:numId="12" w16cid:durableId="1605725187">
    <w:abstractNumId w:val="18"/>
  </w:num>
  <w:num w:numId="13" w16cid:durableId="1651012302">
    <w:abstractNumId w:val="30"/>
  </w:num>
  <w:num w:numId="14" w16cid:durableId="1134060996">
    <w:abstractNumId w:val="31"/>
  </w:num>
  <w:num w:numId="15" w16cid:durableId="2059545733">
    <w:abstractNumId w:val="10"/>
  </w:num>
  <w:num w:numId="16" w16cid:durableId="1552381254">
    <w:abstractNumId w:val="40"/>
  </w:num>
  <w:num w:numId="17" w16cid:durableId="753209648">
    <w:abstractNumId w:val="32"/>
  </w:num>
  <w:num w:numId="18" w16cid:durableId="1813523844">
    <w:abstractNumId w:val="37"/>
  </w:num>
  <w:num w:numId="19" w16cid:durableId="843908208">
    <w:abstractNumId w:val="7"/>
  </w:num>
  <w:num w:numId="20" w16cid:durableId="1720325849">
    <w:abstractNumId w:val="38"/>
  </w:num>
  <w:num w:numId="21" w16cid:durableId="1916015247">
    <w:abstractNumId w:val="27"/>
  </w:num>
  <w:num w:numId="22" w16cid:durableId="1201673436">
    <w:abstractNumId w:val="22"/>
  </w:num>
  <w:num w:numId="23" w16cid:durableId="1325621107">
    <w:abstractNumId w:val="11"/>
  </w:num>
  <w:num w:numId="24" w16cid:durableId="136726011">
    <w:abstractNumId w:val="41"/>
  </w:num>
  <w:num w:numId="25" w16cid:durableId="768427470">
    <w:abstractNumId w:val="24"/>
  </w:num>
  <w:num w:numId="26" w16cid:durableId="1783650590">
    <w:abstractNumId w:val="20"/>
  </w:num>
  <w:num w:numId="27" w16cid:durableId="824854632">
    <w:abstractNumId w:val="8"/>
  </w:num>
  <w:num w:numId="28" w16cid:durableId="952397179">
    <w:abstractNumId w:val="25"/>
  </w:num>
  <w:num w:numId="29" w16cid:durableId="855146471">
    <w:abstractNumId w:val="17"/>
  </w:num>
  <w:num w:numId="30" w16cid:durableId="1231690024">
    <w:abstractNumId w:val="36"/>
  </w:num>
  <w:num w:numId="31" w16cid:durableId="1131172425">
    <w:abstractNumId w:val="6"/>
  </w:num>
  <w:num w:numId="32" w16cid:durableId="136722533">
    <w:abstractNumId w:val="13"/>
  </w:num>
  <w:num w:numId="33" w16cid:durableId="1935354022">
    <w:abstractNumId w:val="43"/>
  </w:num>
  <w:num w:numId="34" w16cid:durableId="758404011">
    <w:abstractNumId w:val="14"/>
  </w:num>
  <w:num w:numId="35" w16cid:durableId="175658144">
    <w:abstractNumId w:val="29"/>
  </w:num>
  <w:num w:numId="36" w16cid:durableId="599992103">
    <w:abstractNumId w:val="28"/>
  </w:num>
  <w:num w:numId="37" w16cid:durableId="1375928371">
    <w:abstractNumId w:val="33"/>
  </w:num>
  <w:num w:numId="38" w16cid:durableId="589460831">
    <w:abstractNumId w:val="16"/>
  </w:num>
  <w:num w:numId="39" w16cid:durableId="1831798162">
    <w:abstractNumId w:val="35"/>
  </w:num>
  <w:num w:numId="40" w16cid:durableId="1746030477">
    <w:abstractNumId w:val="42"/>
  </w:num>
  <w:num w:numId="41" w16cid:durableId="2124424995">
    <w:abstractNumId w:val="21"/>
  </w:num>
  <w:num w:numId="42" w16cid:durableId="1879050739">
    <w:abstractNumId w:val="15"/>
  </w:num>
  <w:num w:numId="43" w16cid:durableId="1107235951">
    <w:abstractNumId w:val="9"/>
  </w:num>
  <w:num w:numId="44" w16cid:durableId="1541628867">
    <w:abstractNumId w:val="3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89E"/>
    <w:rsid w:val="0000607C"/>
    <w:rsid w:val="000074EB"/>
    <w:rsid w:val="00007F20"/>
    <w:rsid w:val="00011260"/>
    <w:rsid w:val="00012A6D"/>
    <w:rsid w:val="00013AFD"/>
    <w:rsid w:val="00014D3D"/>
    <w:rsid w:val="000175CB"/>
    <w:rsid w:val="00023B3B"/>
    <w:rsid w:val="0002607B"/>
    <w:rsid w:val="000265A8"/>
    <w:rsid w:val="00034284"/>
    <w:rsid w:val="00034616"/>
    <w:rsid w:val="000402A0"/>
    <w:rsid w:val="0004380D"/>
    <w:rsid w:val="00044FE9"/>
    <w:rsid w:val="00050E5B"/>
    <w:rsid w:val="00051163"/>
    <w:rsid w:val="000514F7"/>
    <w:rsid w:val="00052F93"/>
    <w:rsid w:val="00057496"/>
    <w:rsid w:val="00057F4A"/>
    <w:rsid w:val="00057FF5"/>
    <w:rsid w:val="0006021B"/>
    <w:rsid w:val="0006063C"/>
    <w:rsid w:val="00061086"/>
    <w:rsid w:val="00064ABA"/>
    <w:rsid w:val="00071223"/>
    <w:rsid w:val="0007568C"/>
    <w:rsid w:val="0007595C"/>
    <w:rsid w:val="000763F9"/>
    <w:rsid w:val="00076A50"/>
    <w:rsid w:val="000771E3"/>
    <w:rsid w:val="00080B08"/>
    <w:rsid w:val="00083993"/>
    <w:rsid w:val="00086A0F"/>
    <w:rsid w:val="000906DC"/>
    <w:rsid w:val="00090E45"/>
    <w:rsid w:val="00091CED"/>
    <w:rsid w:val="000930B3"/>
    <w:rsid w:val="0009418E"/>
    <w:rsid w:val="00094F99"/>
    <w:rsid w:val="000975B6"/>
    <w:rsid w:val="00097877"/>
    <w:rsid w:val="000A386F"/>
    <w:rsid w:val="000A5A21"/>
    <w:rsid w:val="000A6B35"/>
    <w:rsid w:val="000B108D"/>
    <w:rsid w:val="000B2BD0"/>
    <w:rsid w:val="000B33A0"/>
    <w:rsid w:val="000B6386"/>
    <w:rsid w:val="000B70B1"/>
    <w:rsid w:val="000B7AB5"/>
    <w:rsid w:val="000C27D2"/>
    <w:rsid w:val="000C2C20"/>
    <w:rsid w:val="000C6C78"/>
    <w:rsid w:val="000D131F"/>
    <w:rsid w:val="000D2DD1"/>
    <w:rsid w:val="000D35A6"/>
    <w:rsid w:val="000D37C8"/>
    <w:rsid w:val="000D57F6"/>
    <w:rsid w:val="000D5BE4"/>
    <w:rsid w:val="000E4448"/>
    <w:rsid w:val="000F17C9"/>
    <w:rsid w:val="000F3C4F"/>
    <w:rsid w:val="000F55D2"/>
    <w:rsid w:val="00100DE9"/>
    <w:rsid w:val="0010101A"/>
    <w:rsid w:val="00101AD0"/>
    <w:rsid w:val="00103B3D"/>
    <w:rsid w:val="0010610E"/>
    <w:rsid w:val="00106D2A"/>
    <w:rsid w:val="00107BA8"/>
    <w:rsid w:val="001108C5"/>
    <w:rsid w:val="0011168E"/>
    <w:rsid w:val="00112D84"/>
    <w:rsid w:val="001161BA"/>
    <w:rsid w:val="001207D5"/>
    <w:rsid w:val="00122A96"/>
    <w:rsid w:val="001276BB"/>
    <w:rsid w:val="0013060E"/>
    <w:rsid w:val="00131AD8"/>
    <w:rsid w:val="0013254A"/>
    <w:rsid w:val="00134DDA"/>
    <w:rsid w:val="00136BD7"/>
    <w:rsid w:val="001372CB"/>
    <w:rsid w:val="001375D1"/>
    <w:rsid w:val="00140678"/>
    <w:rsid w:val="00141D99"/>
    <w:rsid w:val="00144216"/>
    <w:rsid w:val="00144CD7"/>
    <w:rsid w:val="00145C39"/>
    <w:rsid w:val="0015074B"/>
    <w:rsid w:val="001514A0"/>
    <w:rsid w:val="00151F5D"/>
    <w:rsid w:val="001579FB"/>
    <w:rsid w:val="00157A8D"/>
    <w:rsid w:val="00167288"/>
    <w:rsid w:val="00174ECB"/>
    <w:rsid w:val="001808BD"/>
    <w:rsid w:val="001831D3"/>
    <w:rsid w:val="00183826"/>
    <w:rsid w:val="00186D91"/>
    <w:rsid w:val="00186EA1"/>
    <w:rsid w:val="00186FC6"/>
    <w:rsid w:val="001904E3"/>
    <w:rsid w:val="0019075B"/>
    <w:rsid w:val="001908B9"/>
    <w:rsid w:val="001918F4"/>
    <w:rsid w:val="001935C6"/>
    <w:rsid w:val="00193D9B"/>
    <w:rsid w:val="00194DF1"/>
    <w:rsid w:val="00194F0C"/>
    <w:rsid w:val="001951A1"/>
    <w:rsid w:val="0019746D"/>
    <w:rsid w:val="00197B9E"/>
    <w:rsid w:val="001A0179"/>
    <w:rsid w:val="001A1EBD"/>
    <w:rsid w:val="001A55E0"/>
    <w:rsid w:val="001A7B88"/>
    <w:rsid w:val="001B33F2"/>
    <w:rsid w:val="001B37C4"/>
    <w:rsid w:val="001B4E70"/>
    <w:rsid w:val="001B52B4"/>
    <w:rsid w:val="001C090A"/>
    <w:rsid w:val="001C1341"/>
    <w:rsid w:val="001C16FA"/>
    <w:rsid w:val="001C19C1"/>
    <w:rsid w:val="001C1AC5"/>
    <w:rsid w:val="001C1E63"/>
    <w:rsid w:val="001C2162"/>
    <w:rsid w:val="001C229F"/>
    <w:rsid w:val="001C317D"/>
    <w:rsid w:val="001C6949"/>
    <w:rsid w:val="001D0534"/>
    <w:rsid w:val="001D0625"/>
    <w:rsid w:val="001D2F89"/>
    <w:rsid w:val="001D5193"/>
    <w:rsid w:val="001E1A1B"/>
    <w:rsid w:val="001E5C71"/>
    <w:rsid w:val="001E6EB0"/>
    <w:rsid w:val="001E7A38"/>
    <w:rsid w:val="001E7C6A"/>
    <w:rsid w:val="001F07C0"/>
    <w:rsid w:val="001F13D0"/>
    <w:rsid w:val="001F2A32"/>
    <w:rsid w:val="001F31B3"/>
    <w:rsid w:val="001F6821"/>
    <w:rsid w:val="00200CF2"/>
    <w:rsid w:val="002022E6"/>
    <w:rsid w:val="0020307F"/>
    <w:rsid w:val="00205C08"/>
    <w:rsid w:val="00207386"/>
    <w:rsid w:val="00210DEB"/>
    <w:rsid w:val="002113F6"/>
    <w:rsid w:val="0021246C"/>
    <w:rsid w:val="00215A73"/>
    <w:rsid w:val="00215C95"/>
    <w:rsid w:val="00217CFD"/>
    <w:rsid w:val="00220597"/>
    <w:rsid w:val="002219D8"/>
    <w:rsid w:val="00223EDA"/>
    <w:rsid w:val="0022525F"/>
    <w:rsid w:val="00225FE8"/>
    <w:rsid w:val="002351E9"/>
    <w:rsid w:val="002369B8"/>
    <w:rsid w:val="0024043D"/>
    <w:rsid w:val="00240FBE"/>
    <w:rsid w:val="00246B02"/>
    <w:rsid w:val="00252754"/>
    <w:rsid w:val="00253FDE"/>
    <w:rsid w:val="00261701"/>
    <w:rsid w:val="002627CA"/>
    <w:rsid w:val="0026281A"/>
    <w:rsid w:val="002639A7"/>
    <w:rsid w:val="002645D7"/>
    <w:rsid w:val="002662FF"/>
    <w:rsid w:val="0026741A"/>
    <w:rsid w:val="002715E9"/>
    <w:rsid w:val="00275129"/>
    <w:rsid w:val="00276C39"/>
    <w:rsid w:val="0028036C"/>
    <w:rsid w:val="00281794"/>
    <w:rsid w:val="00281AF2"/>
    <w:rsid w:val="0028317E"/>
    <w:rsid w:val="00284142"/>
    <w:rsid w:val="00287542"/>
    <w:rsid w:val="00287621"/>
    <w:rsid w:val="0029095F"/>
    <w:rsid w:val="002953C3"/>
    <w:rsid w:val="002958A8"/>
    <w:rsid w:val="0029639D"/>
    <w:rsid w:val="002A18C0"/>
    <w:rsid w:val="002A2FBF"/>
    <w:rsid w:val="002A5C00"/>
    <w:rsid w:val="002B1889"/>
    <w:rsid w:val="002B4259"/>
    <w:rsid w:val="002B4718"/>
    <w:rsid w:val="002B4B46"/>
    <w:rsid w:val="002B723D"/>
    <w:rsid w:val="002B79B7"/>
    <w:rsid w:val="002C2A94"/>
    <w:rsid w:val="002C3071"/>
    <w:rsid w:val="002C431C"/>
    <w:rsid w:val="002C4E5B"/>
    <w:rsid w:val="002C4F5A"/>
    <w:rsid w:val="002C5C21"/>
    <w:rsid w:val="002C5E5B"/>
    <w:rsid w:val="002C61C5"/>
    <w:rsid w:val="002C747C"/>
    <w:rsid w:val="002D04E9"/>
    <w:rsid w:val="002D1C70"/>
    <w:rsid w:val="002D4394"/>
    <w:rsid w:val="002D568F"/>
    <w:rsid w:val="002D7C80"/>
    <w:rsid w:val="002E4F4A"/>
    <w:rsid w:val="002E5DCB"/>
    <w:rsid w:val="002E6CE1"/>
    <w:rsid w:val="002E7E0E"/>
    <w:rsid w:val="002F0A00"/>
    <w:rsid w:val="002F1AA3"/>
    <w:rsid w:val="002F1BBA"/>
    <w:rsid w:val="002F1F59"/>
    <w:rsid w:val="002F501A"/>
    <w:rsid w:val="003003B5"/>
    <w:rsid w:val="0030293B"/>
    <w:rsid w:val="00302DAC"/>
    <w:rsid w:val="00304927"/>
    <w:rsid w:val="00304942"/>
    <w:rsid w:val="00305A8C"/>
    <w:rsid w:val="003073CB"/>
    <w:rsid w:val="00311E6D"/>
    <w:rsid w:val="00312955"/>
    <w:rsid w:val="003143AF"/>
    <w:rsid w:val="00314BF3"/>
    <w:rsid w:val="003202CE"/>
    <w:rsid w:val="0032325A"/>
    <w:rsid w:val="00323494"/>
    <w:rsid w:val="00323C0B"/>
    <w:rsid w:val="00323E3B"/>
    <w:rsid w:val="00326AA2"/>
    <w:rsid w:val="00326F90"/>
    <w:rsid w:val="00335113"/>
    <w:rsid w:val="003373D2"/>
    <w:rsid w:val="00337D1C"/>
    <w:rsid w:val="00340111"/>
    <w:rsid w:val="00340C98"/>
    <w:rsid w:val="00346053"/>
    <w:rsid w:val="00347FCA"/>
    <w:rsid w:val="0035056D"/>
    <w:rsid w:val="00350813"/>
    <w:rsid w:val="00351532"/>
    <w:rsid w:val="00353271"/>
    <w:rsid w:val="00353536"/>
    <w:rsid w:val="00356533"/>
    <w:rsid w:val="00357703"/>
    <w:rsid w:val="00357F5B"/>
    <w:rsid w:val="00360D2A"/>
    <w:rsid w:val="0036244C"/>
    <w:rsid w:val="00362A04"/>
    <w:rsid w:val="003806F8"/>
    <w:rsid w:val="00381268"/>
    <w:rsid w:val="0038324C"/>
    <w:rsid w:val="00384507"/>
    <w:rsid w:val="003866D4"/>
    <w:rsid w:val="00387FCA"/>
    <w:rsid w:val="0039008C"/>
    <w:rsid w:val="00393FA9"/>
    <w:rsid w:val="003A1C30"/>
    <w:rsid w:val="003A2045"/>
    <w:rsid w:val="003A2770"/>
    <w:rsid w:val="003A2DCB"/>
    <w:rsid w:val="003A5BEB"/>
    <w:rsid w:val="003A5E8E"/>
    <w:rsid w:val="003A7C5A"/>
    <w:rsid w:val="003B0312"/>
    <w:rsid w:val="003B2859"/>
    <w:rsid w:val="003C16AD"/>
    <w:rsid w:val="003C4AA0"/>
    <w:rsid w:val="003D3CAA"/>
    <w:rsid w:val="003D3F7D"/>
    <w:rsid w:val="003D3FF1"/>
    <w:rsid w:val="003D4BC4"/>
    <w:rsid w:val="003D589B"/>
    <w:rsid w:val="003D5F52"/>
    <w:rsid w:val="003D616D"/>
    <w:rsid w:val="003F2C43"/>
    <w:rsid w:val="003F2E2F"/>
    <w:rsid w:val="003F4331"/>
    <w:rsid w:val="003F55A5"/>
    <w:rsid w:val="00400ABA"/>
    <w:rsid w:val="00400B07"/>
    <w:rsid w:val="0040103B"/>
    <w:rsid w:val="00405F7C"/>
    <w:rsid w:val="00405F8C"/>
    <w:rsid w:val="00407F07"/>
    <w:rsid w:val="00411054"/>
    <w:rsid w:val="00413460"/>
    <w:rsid w:val="0041371D"/>
    <w:rsid w:val="00414523"/>
    <w:rsid w:val="0041507E"/>
    <w:rsid w:val="00415FC3"/>
    <w:rsid w:val="00423816"/>
    <w:rsid w:val="00430D28"/>
    <w:rsid w:val="004323BD"/>
    <w:rsid w:val="00432578"/>
    <w:rsid w:val="004335BD"/>
    <w:rsid w:val="0043564E"/>
    <w:rsid w:val="00437FC0"/>
    <w:rsid w:val="00437FFB"/>
    <w:rsid w:val="004425E2"/>
    <w:rsid w:val="0044393C"/>
    <w:rsid w:val="004534A3"/>
    <w:rsid w:val="004535A3"/>
    <w:rsid w:val="00456013"/>
    <w:rsid w:val="004566A6"/>
    <w:rsid w:val="004572E9"/>
    <w:rsid w:val="00460758"/>
    <w:rsid w:val="0046077A"/>
    <w:rsid w:val="00462F5D"/>
    <w:rsid w:val="004633B0"/>
    <w:rsid w:val="0046361F"/>
    <w:rsid w:val="00463CAC"/>
    <w:rsid w:val="00463D1D"/>
    <w:rsid w:val="004707A7"/>
    <w:rsid w:val="00473DF8"/>
    <w:rsid w:val="004806FD"/>
    <w:rsid w:val="004817AC"/>
    <w:rsid w:val="00482A07"/>
    <w:rsid w:val="00483948"/>
    <w:rsid w:val="00485771"/>
    <w:rsid w:val="00485BD2"/>
    <w:rsid w:val="00486164"/>
    <w:rsid w:val="004863D1"/>
    <w:rsid w:val="00487F48"/>
    <w:rsid w:val="004906FB"/>
    <w:rsid w:val="00491DBE"/>
    <w:rsid w:val="00492335"/>
    <w:rsid w:val="004946E1"/>
    <w:rsid w:val="004A6A5B"/>
    <w:rsid w:val="004B01AB"/>
    <w:rsid w:val="004B17AC"/>
    <w:rsid w:val="004B4EA9"/>
    <w:rsid w:val="004B507C"/>
    <w:rsid w:val="004B79DC"/>
    <w:rsid w:val="004C4369"/>
    <w:rsid w:val="004D0BEA"/>
    <w:rsid w:val="004D1277"/>
    <w:rsid w:val="004D2B7E"/>
    <w:rsid w:val="004D2E04"/>
    <w:rsid w:val="004D322E"/>
    <w:rsid w:val="004D5A86"/>
    <w:rsid w:val="004E12F0"/>
    <w:rsid w:val="004E4BE7"/>
    <w:rsid w:val="004E5282"/>
    <w:rsid w:val="004E5330"/>
    <w:rsid w:val="004E6883"/>
    <w:rsid w:val="004F7F13"/>
    <w:rsid w:val="005012D0"/>
    <w:rsid w:val="00505E4E"/>
    <w:rsid w:val="005065FF"/>
    <w:rsid w:val="00514354"/>
    <w:rsid w:val="00525378"/>
    <w:rsid w:val="00526DDA"/>
    <w:rsid w:val="00534A51"/>
    <w:rsid w:val="00534A56"/>
    <w:rsid w:val="00534DAA"/>
    <w:rsid w:val="00537419"/>
    <w:rsid w:val="0053774C"/>
    <w:rsid w:val="00541A16"/>
    <w:rsid w:val="0054310B"/>
    <w:rsid w:val="0054570F"/>
    <w:rsid w:val="0055131A"/>
    <w:rsid w:val="005560AA"/>
    <w:rsid w:val="00556B04"/>
    <w:rsid w:val="0056086A"/>
    <w:rsid w:val="00561AC7"/>
    <w:rsid w:val="00564275"/>
    <w:rsid w:val="00565111"/>
    <w:rsid w:val="00567021"/>
    <w:rsid w:val="00570C79"/>
    <w:rsid w:val="0057570B"/>
    <w:rsid w:val="00580485"/>
    <w:rsid w:val="00582A9F"/>
    <w:rsid w:val="00585E49"/>
    <w:rsid w:val="005903EA"/>
    <w:rsid w:val="00590B70"/>
    <w:rsid w:val="00593CBA"/>
    <w:rsid w:val="00594932"/>
    <w:rsid w:val="005955DA"/>
    <w:rsid w:val="00595723"/>
    <w:rsid w:val="005A190F"/>
    <w:rsid w:val="005A2C31"/>
    <w:rsid w:val="005A64B6"/>
    <w:rsid w:val="005B018F"/>
    <w:rsid w:val="005B26C7"/>
    <w:rsid w:val="005B505A"/>
    <w:rsid w:val="005B5196"/>
    <w:rsid w:val="005B61EB"/>
    <w:rsid w:val="005B76C3"/>
    <w:rsid w:val="005C0738"/>
    <w:rsid w:val="005C2475"/>
    <w:rsid w:val="005C3B6B"/>
    <w:rsid w:val="005C5008"/>
    <w:rsid w:val="005C78A0"/>
    <w:rsid w:val="005D00FD"/>
    <w:rsid w:val="005D016A"/>
    <w:rsid w:val="005D01FA"/>
    <w:rsid w:val="005D3421"/>
    <w:rsid w:val="005D46F1"/>
    <w:rsid w:val="005D7070"/>
    <w:rsid w:val="005D7EBC"/>
    <w:rsid w:val="005E08B9"/>
    <w:rsid w:val="005E4C97"/>
    <w:rsid w:val="005E4E07"/>
    <w:rsid w:val="005E75FE"/>
    <w:rsid w:val="005E7D3F"/>
    <w:rsid w:val="005F11F5"/>
    <w:rsid w:val="005F4622"/>
    <w:rsid w:val="005F4F90"/>
    <w:rsid w:val="005F5CFE"/>
    <w:rsid w:val="00601C2B"/>
    <w:rsid w:val="00601E8E"/>
    <w:rsid w:val="006026DF"/>
    <w:rsid w:val="006036BB"/>
    <w:rsid w:val="0060414E"/>
    <w:rsid w:val="00604180"/>
    <w:rsid w:val="006051FD"/>
    <w:rsid w:val="00606E1D"/>
    <w:rsid w:val="00607BF0"/>
    <w:rsid w:val="00610AE0"/>
    <w:rsid w:val="00611E6F"/>
    <w:rsid w:val="00612613"/>
    <w:rsid w:val="0061319B"/>
    <w:rsid w:val="00626714"/>
    <w:rsid w:val="00626B5F"/>
    <w:rsid w:val="0062745E"/>
    <w:rsid w:val="00627CF3"/>
    <w:rsid w:val="00627F7C"/>
    <w:rsid w:val="006337BD"/>
    <w:rsid w:val="0063382C"/>
    <w:rsid w:val="0063479C"/>
    <w:rsid w:val="006374F8"/>
    <w:rsid w:val="0064075C"/>
    <w:rsid w:val="00644FD3"/>
    <w:rsid w:val="00645156"/>
    <w:rsid w:val="0064574E"/>
    <w:rsid w:val="00650B9F"/>
    <w:rsid w:val="00652C51"/>
    <w:rsid w:val="00655937"/>
    <w:rsid w:val="00661687"/>
    <w:rsid w:val="00662354"/>
    <w:rsid w:val="00664C21"/>
    <w:rsid w:val="0066566A"/>
    <w:rsid w:val="0066798C"/>
    <w:rsid w:val="006804F3"/>
    <w:rsid w:val="00691A4D"/>
    <w:rsid w:val="00694B57"/>
    <w:rsid w:val="00695D6C"/>
    <w:rsid w:val="006972BF"/>
    <w:rsid w:val="006A2027"/>
    <w:rsid w:val="006A3135"/>
    <w:rsid w:val="006A5B23"/>
    <w:rsid w:val="006A7CB9"/>
    <w:rsid w:val="006B06E5"/>
    <w:rsid w:val="006B08BB"/>
    <w:rsid w:val="006B18F7"/>
    <w:rsid w:val="006B566E"/>
    <w:rsid w:val="006C0356"/>
    <w:rsid w:val="006C38A3"/>
    <w:rsid w:val="006D5848"/>
    <w:rsid w:val="006D5CCD"/>
    <w:rsid w:val="006E4972"/>
    <w:rsid w:val="006F093D"/>
    <w:rsid w:val="006F146E"/>
    <w:rsid w:val="006F246F"/>
    <w:rsid w:val="006F2CE0"/>
    <w:rsid w:val="006F4C01"/>
    <w:rsid w:val="006F71DC"/>
    <w:rsid w:val="007008DE"/>
    <w:rsid w:val="007061E8"/>
    <w:rsid w:val="00711AEC"/>
    <w:rsid w:val="007149B6"/>
    <w:rsid w:val="00715E22"/>
    <w:rsid w:val="00720919"/>
    <w:rsid w:val="00720D6D"/>
    <w:rsid w:val="00724024"/>
    <w:rsid w:val="00725736"/>
    <w:rsid w:val="00725AD5"/>
    <w:rsid w:val="00730E14"/>
    <w:rsid w:val="0073587F"/>
    <w:rsid w:val="00741B56"/>
    <w:rsid w:val="00741E9B"/>
    <w:rsid w:val="00744705"/>
    <w:rsid w:val="0075037F"/>
    <w:rsid w:val="00752C5A"/>
    <w:rsid w:val="00757164"/>
    <w:rsid w:val="00757D17"/>
    <w:rsid w:val="00761E78"/>
    <w:rsid w:val="007621F5"/>
    <w:rsid w:val="00762674"/>
    <w:rsid w:val="00765852"/>
    <w:rsid w:val="0076768E"/>
    <w:rsid w:val="00767E0C"/>
    <w:rsid w:val="0077018F"/>
    <w:rsid w:val="00777042"/>
    <w:rsid w:val="0078002B"/>
    <w:rsid w:val="007800A5"/>
    <w:rsid w:val="007819CE"/>
    <w:rsid w:val="00782694"/>
    <w:rsid w:val="00785076"/>
    <w:rsid w:val="00785F56"/>
    <w:rsid w:val="00786358"/>
    <w:rsid w:val="007912E0"/>
    <w:rsid w:val="00791ABA"/>
    <w:rsid w:val="00791FC0"/>
    <w:rsid w:val="007938AC"/>
    <w:rsid w:val="00793FC3"/>
    <w:rsid w:val="00795536"/>
    <w:rsid w:val="007955E8"/>
    <w:rsid w:val="007960A4"/>
    <w:rsid w:val="007A1814"/>
    <w:rsid w:val="007B049E"/>
    <w:rsid w:val="007B13B5"/>
    <w:rsid w:val="007B47A0"/>
    <w:rsid w:val="007C04FE"/>
    <w:rsid w:val="007C08F8"/>
    <w:rsid w:val="007C2430"/>
    <w:rsid w:val="007C2C8E"/>
    <w:rsid w:val="007C33AE"/>
    <w:rsid w:val="007C3F0E"/>
    <w:rsid w:val="007C42F0"/>
    <w:rsid w:val="007C4F20"/>
    <w:rsid w:val="007C6C58"/>
    <w:rsid w:val="007D23ED"/>
    <w:rsid w:val="007D3284"/>
    <w:rsid w:val="007D5634"/>
    <w:rsid w:val="007D7D6B"/>
    <w:rsid w:val="007E265B"/>
    <w:rsid w:val="007E313C"/>
    <w:rsid w:val="007E31AE"/>
    <w:rsid w:val="007E4322"/>
    <w:rsid w:val="007E4CD5"/>
    <w:rsid w:val="007E5386"/>
    <w:rsid w:val="007F38AC"/>
    <w:rsid w:val="007F69E1"/>
    <w:rsid w:val="00800647"/>
    <w:rsid w:val="00800D95"/>
    <w:rsid w:val="00806763"/>
    <w:rsid w:val="008077FA"/>
    <w:rsid w:val="00811018"/>
    <w:rsid w:val="00811848"/>
    <w:rsid w:val="0081577B"/>
    <w:rsid w:val="00816A0E"/>
    <w:rsid w:val="008175F1"/>
    <w:rsid w:val="00817770"/>
    <w:rsid w:val="00820E01"/>
    <w:rsid w:val="008211FC"/>
    <w:rsid w:val="00822B34"/>
    <w:rsid w:val="00830971"/>
    <w:rsid w:val="00830D08"/>
    <w:rsid w:val="0083316B"/>
    <w:rsid w:val="00833D4A"/>
    <w:rsid w:val="00834A12"/>
    <w:rsid w:val="0084358F"/>
    <w:rsid w:val="00845D93"/>
    <w:rsid w:val="0084600A"/>
    <w:rsid w:val="00846517"/>
    <w:rsid w:val="00847E79"/>
    <w:rsid w:val="0085105C"/>
    <w:rsid w:val="008535BE"/>
    <w:rsid w:val="0085527A"/>
    <w:rsid w:val="008569E9"/>
    <w:rsid w:val="00856CAC"/>
    <w:rsid w:val="008626C1"/>
    <w:rsid w:val="00864A6D"/>
    <w:rsid w:val="00864DFB"/>
    <w:rsid w:val="008664F8"/>
    <w:rsid w:val="00870023"/>
    <w:rsid w:val="00870EEA"/>
    <w:rsid w:val="00872456"/>
    <w:rsid w:val="00880860"/>
    <w:rsid w:val="00881200"/>
    <w:rsid w:val="00881927"/>
    <w:rsid w:val="00882E71"/>
    <w:rsid w:val="00884B1E"/>
    <w:rsid w:val="00884F6C"/>
    <w:rsid w:val="00885E3A"/>
    <w:rsid w:val="00890190"/>
    <w:rsid w:val="008938D4"/>
    <w:rsid w:val="008957B7"/>
    <w:rsid w:val="0089648C"/>
    <w:rsid w:val="00896697"/>
    <w:rsid w:val="008971DB"/>
    <w:rsid w:val="008A1429"/>
    <w:rsid w:val="008A1F06"/>
    <w:rsid w:val="008A3345"/>
    <w:rsid w:val="008A5A0C"/>
    <w:rsid w:val="008A5BB6"/>
    <w:rsid w:val="008A7FE3"/>
    <w:rsid w:val="008B2366"/>
    <w:rsid w:val="008B25AD"/>
    <w:rsid w:val="008B3451"/>
    <w:rsid w:val="008B4CD4"/>
    <w:rsid w:val="008B4E2C"/>
    <w:rsid w:val="008C2DAF"/>
    <w:rsid w:val="008C3F4C"/>
    <w:rsid w:val="008C57E4"/>
    <w:rsid w:val="008C6B93"/>
    <w:rsid w:val="008D4C72"/>
    <w:rsid w:val="008E0914"/>
    <w:rsid w:val="008E0D64"/>
    <w:rsid w:val="008E121D"/>
    <w:rsid w:val="008E17F9"/>
    <w:rsid w:val="008E1E06"/>
    <w:rsid w:val="008E326A"/>
    <w:rsid w:val="008F21AC"/>
    <w:rsid w:val="008F22C1"/>
    <w:rsid w:val="008F4E70"/>
    <w:rsid w:val="008F6F34"/>
    <w:rsid w:val="009004E1"/>
    <w:rsid w:val="009061EC"/>
    <w:rsid w:val="00907569"/>
    <w:rsid w:val="00912F0B"/>
    <w:rsid w:val="00914B56"/>
    <w:rsid w:val="00917BDB"/>
    <w:rsid w:val="00920301"/>
    <w:rsid w:val="009218D0"/>
    <w:rsid w:val="00921901"/>
    <w:rsid w:val="0092197E"/>
    <w:rsid w:val="00925485"/>
    <w:rsid w:val="009323AE"/>
    <w:rsid w:val="009335A9"/>
    <w:rsid w:val="00935F8C"/>
    <w:rsid w:val="009406E6"/>
    <w:rsid w:val="00950542"/>
    <w:rsid w:val="00950E9D"/>
    <w:rsid w:val="00954B7B"/>
    <w:rsid w:val="009602CC"/>
    <w:rsid w:val="00960B67"/>
    <w:rsid w:val="00962E5E"/>
    <w:rsid w:val="00963B9C"/>
    <w:rsid w:val="00964BC2"/>
    <w:rsid w:val="009654BD"/>
    <w:rsid w:val="00965CF9"/>
    <w:rsid w:val="00965F9F"/>
    <w:rsid w:val="00967178"/>
    <w:rsid w:val="00967536"/>
    <w:rsid w:val="009722DB"/>
    <w:rsid w:val="00977AA8"/>
    <w:rsid w:val="00980C46"/>
    <w:rsid w:val="00981FC6"/>
    <w:rsid w:val="00982013"/>
    <w:rsid w:val="0098579E"/>
    <w:rsid w:val="00987CA2"/>
    <w:rsid w:val="00991548"/>
    <w:rsid w:val="009922EC"/>
    <w:rsid w:val="00994ED0"/>
    <w:rsid w:val="009A0F0B"/>
    <w:rsid w:val="009A185C"/>
    <w:rsid w:val="009A2D87"/>
    <w:rsid w:val="009A5416"/>
    <w:rsid w:val="009A754B"/>
    <w:rsid w:val="009B2F41"/>
    <w:rsid w:val="009B4582"/>
    <w:rsid w:val="009C00A8"/>
    <w:rsid w:val="009C0689"/>
    <w:rsid w:val="009C7A93"/>
    <w:rsid w:val="009D0923"/>
    <w:rsid w:val="009D0FCE"/>
    <w:rsid w:val="009D1BAE"/>
    <w:rsid w:val="009D1FBD"/>
    <w:rsid w:val="009D73F7"/>
    <w:rsid w:val="009E1526"/>
    <w:rsid w:val="009E4158"/>
    <w:rsid w:val="009E7DE2"/>
    <w:rsid w:val="009F167E"/>
    <w:rsid w:val="009F1B4E"/>
    <w:rsid w:val="009F5C73"/>
    <w:rsid w:val="00A011D6"/>
    <w:rsid w:val="00A0138D"/>
    <w:rsid w:val="00A01A89"/>
    <w:rsid w:val="00A02FC7"/>
    <w:rsid w:val="00A10FBF"/>
    <w:rsid w:val="00A218C4"/>
    <w:rsid w:val="00A26AA4"/>
    <w:rsid w:val="00A27BB8"/>
    <w:rsid w:val="00A332B5"/>
    <w:rsid w:val="00A3468C"/>
    <w:rsid w:val="00A34A32"/>
    <w:rsid w:val="00A35013"/>
    <w:rsid w:val="00A35BC3"/>
    <w:rsid w:val="00A403FB"/>
    <w:rsid w:val="00A4058C"/>
    <w:rsid w:val="00A406D9"/>
    <w:rsid w:val="00A4195C"/>
    <w:rsid w:val="00A42249"/>
    <w:rsid w:val="00A43702"/>
    <w:rsid w:val="00A44C79"/>
    <w:rsid w:val="00A46E04"/>
    <w:rsid w:val="00A50321"/>
    <w:rsid w:val="00A50568"/>
    <w:rsid w:val="00A50DD3"/>
    <w:rsid w:val="00A54536"/>
    <w:rsid w:val="00A548DB"/>
    <w:rsid w:val="00A55F57"/>
    <w:rsid w:val="00A575EE"/>
    <w:rsid w:val="00A62607"/>
    <w:rsid w:val="00A62678"/>
    <w:rsid w:val="00A630B4"/>
    <w:rsid w:val="00A64791"/>
    <w:rsid w:val="00A66A2D"/>
    <w:rsid w:val="00A670E6"/>
    <w:rsid w:val="00A67299"/>
    <w:rsid w:val="00A67569"/>
    <w:rsid w:val="00A7017D"/>
    <w:rsid w:val="00A71BB2"/>
    <w:rsid w:val="00A744BA"/>
    <w:rsid w:val="00A7629E"/>
    <w:rsid w:val="00A768C9"/>
    <w:rsid w:val="00A81C21"/>
    <w:rsid w:val="00A826AD"/>
    <w:rsid w:val="00A84165"/>
    <w:rsid w:val="00A84A14"/>
    <w:rsid w:val="00A84BED"/>
    <w:rsid w:val="00A85FC3"/>
    <w:rsid w:val="00A86475"/>
    <w:rsid w:val="00A942A2"/>
    <w:rsid w:val="00A94839"/>
    <w:rsid w:val="00AA1D8D"/>
    <w:rsid w:val="00AA2385"/>
    <w:rsid w:val="00AA2B77"/>
    <w:rsid w:val="00AB0817"/>
    <w:rsid w:val="00AB495E"/>
    <w:rsid w:val="00AB5B60"/>
    <w:rsid w:val="00AC707B"/>
    <w:rsid w:val="00AD2AFB"/>
    <w:rsid w:val="00AD4FEC"/>
    <w:rsid w:val="00AD60A8"/>
    <w:rsid w:val="00AD71D3"/>
    <w:rsid w:val="00AE0F5C"/>
    <w:rsid w:val="00AE10A0"/>
    <w:rsid w:val="00AE3B43"/>
    <w:rsid w:val="00AE4FDA"/>
    <w:rsid w:val="00AE580D"/>
    <w:rsid w:val="00AE5952"/>
    <w:rsid w:val="00AE5DC9"/>
    <w:rsid w:val="00AF3776"/>
    <w:rsid w:val="00AF6354"/>
    <w:rsid w:val="00AF6604"/>
    <w:rsid w:val="00AF6DCF"/>
    <w:rsid w:val="00B05540"/>
    <w:rsid w:val="00B064EF"/>
    <w:rsid w:val="00B06A1B"/>
    <w:rsid w:val="00B06D2A"/>
    <w:rsid w:val="00B07304"/>
    <w:rsid w:val="00B10707"/>
    <w:rsid w:val="00B124A0"/>
    <w:rsid w:val="00B13B97"/>
    <w:rsid w:val="00B24A7D"/>
    <w:rsid w:val="00B24CAD"/>
    <w:rsid w:val="00B2690C"/>
    <w:rsid w:val="00B26D1C"/>
    <w:rsid w:val="00B30199"/>
    <w:rsid w:val="00B30956"/>
    <w:rsid w:val="00B3559E"/>
    <w:rsid w:val="00B36E21"/>
    <w:rsid w:val="00B413FD"/>
    <w:rsid w:val="00B42527"/>
    <w:rsid w:val="00B47730"/>
    <w:rsid w:val="00B52670"/>
    <w:rsid w:val="00B53822"/>
    <w:rsid w:val="00B5559A"/>
    <w:rsid w:val="00B55CB8"/>
    <w:rsid w:val="00B56A10"/>
    <w:rsid w:val="00B623D5"/>
    <w:rsid w:val="00B63F89"/>
    <w:rsid w:val="00B74709"/>
    <w:rsid w:val="00B754CD"/>
    <w:rsid w:val="00B769FF"/>
    <w:rsid w:val="00B76B19"/>
    <w:rsid w:val="00B77085"/>
    <w:rsid w:val="00B81696"/>
    <w:rsid w:val="00B826D9"/>
    <w:rsid w:val="00B856BF"/>
    <w:rsid w:val="00B8575F"/>
    <w:rsid w:val="00B86627"/>
    <w:rsid w:val="00B90B23"/>
    <w:rsid w:val="00B937B7"/>
    <w:rsid w:val="00B976B9"/>
    <w:rsid w:val="00BA0E76"/>
    <w:rsid w:val="00BA114F"/>
    <w:rsid w:val="00BA1267"/>
    <w:rsid w:val="00BA3D5A"/>
    <w:rsid w:val="00BA509B"/>
    <w:rsid w:val="00BA55A6"/>
    <w:rsid w:val="00BA69EF"/>
    <w:rsid w:val="00BB4F34"/>
    <w:rsid w:val="00BB7D99"/>
    <w:rsid w:val="00BC7E54"/>
    <w:rsid w:val="00BD05CA"/>
    <w:rsid w:val="00BD0EA1"/>
    <w:rsid w:val="00BD158F"/>
    <w:rsid w:val="00BD39B7"/>
    <w:rsid w:val="00BD6D30"/>
    <w:rsid w:val="00BD7866"/>
    <w:rsid w:val="00BE21F5"/>
    <w:rsid w:val="00BE2699"/>
    <w:rsid w:val="00BE440B"/>
    <w:rsid w:val="00BE46C9"/>
    <w:rsid w:val="00BF19BA"/>
    <w:rsid w:val="00BF3D3A"/>
    <w:rsid w:val="00BF4008"/>
    <w:rsid w:val="00BF5DE9"/>
    <w:rsid w:val="00C00355"/>
    <w:rsid w:val="00C03A2C"/>
    <w:rsid w:val="00C05110"/>
    <w:rsid w:val="00C05965"/>
    <w:rsid w:val="00C05F77"/>
    <w:rsid w:val="00C07989"/>
    <w:rsid w:val="00C1000C"/>
    <w:rsid w:val="00C101BB"/>
    <w:rsid w:val="00C112D7"/>
    <w:rsid w:val="00C12C65"/>
    <w:rsid w:val="00C16F60"/>
    <w:rsid w:val="00C17180"/>
    <w:rsid w:val="00C17B2C"/>
    <w:rsid w:val="00C21C14"/>
    <w:rsid w:val="00C22CFE"/>
    <w:rsid w:val="00C24D6B"/>
    <w:rsid w:val="00C3110F"/>
    <w:rsid w:val="00C3516A"/>
    <w:rsid w:val="00C35C8B"/>
    <w:rsid w:val="00C35E01"/>
    <w:rsid w:val="00C379D0"/>
    <w:rsid w:val="00C41C7C"/>
    <w:rsid w:val="00C42553"/>
    <w:rsid w:val="00C5293D"/>
    <w:rsid w:val="00C565B8"/>
    <w:rsid w:val="00C56B46"/>
    <w:rsid w:val="00C63018"/>
    <w:rsid w:val="00C63D6C"/>
    <w:rsid w:val="00C63D7B"/>
    <w:rsid w:val="00C647C8"/>
    <w:rsid w:val="00C64E10"/>
    <w:rsid w:val="00C66F29"/>
    <w:rsid w:val="00C66F6F"/>
    <w:rsid w:val="00C6786A"/>
    <w:rsid w:val="00C72D7D"/>
    <w:rsid w:val="00C73539"/>
    <w:rsid w:val="00C73F4E"/>
    <w:rsid w:val="00C77370"/>
    <w:rsid w:val="00C777DB"/>
    <w:rsid w:val="00C815DE"/>
    <w:rsid w:val="00C84E90"/>
    <w:rsid w:val="00C85973"/>
    <w:rsid w:val="00C91FAB"/>
    <w:rsid w:val="00C93DA5"/>
    <w:rsid w:val="00C966BC"/>
    <w:rsid w:val="00C967E7"/>
    <w:rsid w:val="00CA18EC"/>
    <w:rsid w:val="00CA4423"/>
    <w:rsid w:val="00CA4784"/>
    <w:rsid w:val="00CA5504"/>
    <w:rsid w:val="00CA5D9A"/>
    <w:rsid w:val="00CA7293"/>
    <w:rsid w:val="00CB0664"/>
    <w:rsid w:val="00CB2548"/>
    <w:rsid w:val="00CB3C10"/>
    <w:rsid w:val="00CB4C16"/>
    <w:rsid w:val="00CB6FCB"/>
    <w:rsid w:val="00CC1EB8"/>
    <w:rsid w:val="00CC65CC"/>
    <w:rsid w:val="00CC699F"/>
    <w:rsid w:val="00CD0BDD"/>
    <w:rsid w:val="00CD0BE9"/>
    <w:rsid w:val="00CD185B"/>
    <w:rsid w:val="00CD20E1"/>
    <w:rsid w:val="00CD3895"/>
    <w:rsid w:val="00CD38BC"/>
    <w:rsid w:val="00CD5D2C"/>
    <w:rsid w:val="00CD618C"/>
    <w:rsid w:val="00CE261C"/>
    <w:rsid w:val="00CE4CBD"/>
    <w:rsid w:val="00CE62D1"/>
    <w:rsid w:val="00CE775D"/>
    <w:rsid w:val="00CE7986"/>
    <w:rsid w:val="00CF2BEB"/>
    <w:rsid w:val="00CF2FAF"/>
    <w:rsid w:val="00CF338D"/>
    <w:rsid w:val="00CF6CBE"/>
    <w:rsid w:val="00CF7F95"/>
    <w:rsid w:val="00D05228"/>
    <w:rsid w:val="00D11714"/>
    <w:rsid w:val="00D15521"/>
    <w:rsid w:val="00D215D9"/>
    <w:rsid w:val="00D24C31"/>
    <w:rsid w:val="00D25753"/>
    <w:rsid w:val="00D25BCD"/>
    <w:rsid w:val="00D26137"/>
    <w:rsid w:val="00D300AD"/>
    <w:rsid w:val="00D330F1"/>
    <w:rsid w:val="00D33D82"/>
    <w:rsid w:val="00D347BC"/>
    <w:rsid w:val="00D44A30"/>
    <w:rsid w:val="00D45803"/>
    <w:rsid w:val="00D47DD9"/>
    <w:rsid w:val="00D512A5"/>
    <w:rsid w:val="00D525BB"/>
    <w:rsid w:val="00D54315"/>
    <w:rsid w:val="00D54613"/>
    <w:rsid w:val="00D54F7E"/>
    <w:rsid w:val="00D552F8"/>
    <w:rsid w:val="00D55B77"/>
    <w:rsid w:val="00D5623B"/>
    <w:rsid w:val="00D56B58"/>
    <w:rsid w:val="00D60E12"/>
    <w:rsid w:val="00D618ED"/>
    <w:rsid w:val="00D61E1E"/>
    <w:rsid w:val="00D62838"/>
    <w:rsid w:val="00D628E1"/>
    <w:rsid w:val="00D6541C"/>
    <w:rsid w:val="00D664E0"/>
    <w:rsid w:val="00D67EB6"/>
    <w:rsid w:val="00D70098"/>
    <w:rsid w:val="00D7013D"/>
    <w:rsid w:val="00D7207D"/>
    <w:rsid w:val="00D74B29"/>
    <w:rsid w:val="00D74C9E"/>
    <w:rsid w:val="00D75A95"/>
    <w:rsid w:val="00D77A8E"/>
    <w:rsid w:val="00D81781"/>
    <w:rsid w:val="00D8390F"/>
    <w:rsid w:val="00D852BB"/>
    <w:rsid w:val="00D85333"/>
    <w:rsid w:val="00D861F6"/>
    <w:rsid w:val="00D87C5E"/>
    <w:rsid w:val="00D9096E"/>
    <w:rsid w:val="00D9153E"/>
    <w:rsid w:val="00D940D6"/>
    <w:rsid w:val="00DA2CBC"/>
    <w:rsid w:val="00DA3289"/>
    <w:rsid w:val="00DA3597"/>
    <w:rsid w:val="00DA4D8D"/>
    <w:rsid w:val="00DA76C1"/>
    <w:rsid w:val="00DB47CC"/>
    <w:rsid w:val="00DB6AF4"/>
    <w:rsid w:val="00DC00C0"/>
    <w:rsid w:val="00DC056E"/>
    <w:rsid w:val="00DC34F1"/>
    <w:rsid w:val="00DD4B8F"/>
    <w:rsid w:val="00DE0C56"/>
    <w:rsid w:val="00DE5D4F"/>
    <w:rsid w:val="00DE65E5"/>
    <w:rsid w:val="00DF4D6C"/>
    <w:rsid w:val="00DF6D3A"/>
    <w:rsid w:val="00E117D8"/>
    <w:rsid w:val="00E12DCC"/>
    <w:rsid w:val="00E140B2"/>
    <w:rsid w:val="00E147C8"/>
    <w:rsid w:val="00E16D5D"/>
    <w:rsid w:val="00E20325"/>
    <w:rsid w:val="00E2207E"/>
    <w:rsid w:val="00E278D4"/>
    <w:rsid w:val="00E30026"/>
    <w:rsid w:val="00E32D62"/>
    <w:rsid w:val="00E33A4E"/>
    <w:rsid w:val="00E33C47"/>
    <w:rsid w:val="00E35112"/>
    <w:rsid w:val="00E43CBD"/>
    <w:rsid w:val="00E43E15"/>
    <w:rsid w:val="00E45717"/>
    <w:rsid w:val="00E45B44"/>
    <w:rsid w:val="00E46058"/>
    <w:rsid w:val="00E468D9"/>
    <w:rsid w:val="00E5110F"/>
    <w:rsid w:val="00E52BC0"/>
    <w:rsid w:val="00E56C87"/>
    <w:rsid w:val="00E62148"/>
    <w:rsid w:val="00E64024"/>
    <w:rsid w:val="00E660D8"/>
    <w:rsid w:val="00E663A6"/>
    <w:rsid w:val="00E672C9"/>
    <w:rsid w:val="00E673CD"/>
    <w:rsid w:val="00E71340"/>
    <w:rsid w:val="00E71349"/>
    <w:rsid w:val="00E72CB7"/>
    <w:rsid w:val="00E749B8"/>
    <w:rsid w:val="00E7539F"/>
    <w:rsid w:val="00E75B22"/>
    <w:rsid w:val="00E7778C"/>
    <w:rsid w:val="00E777C4"/>
    <w:rsid w:val="00E8100C"/>
    <w:rsid w:val="00E81910"/>
    <w:rsid w:val="00E85CCA"/>
    <w:rsid w:val="00E8657B"/>
    <w:rsid w:val="00E9008D"/>
    <w:rsid w:val="00E92D62"/>
    <w:rsid w:val="00E93D6A"/>
    <w:rsid w:val="00E9461A"/>
    <w:rsid w:val="00E94893"/>
    <w:rsid w:val="00E94B49"/>
    <w:rsid w:val="00E97C98"/>
    <w:rsid w:val="00EA0EF8"/>
    <w:rsid w:val="00EA2F7A"/>
    <w:rsid w:val="00EA4C5A"/>
    <w:rsid w:val="00EA6BCD"/>
    <w:rsid w:val="00EB2824"/>
    <w:rsid w:val="00EB61BF"/>
    <w:rsid w:val="00EB62BC"/>
    <w:rsid w:val="00EC2316"/>
    <w:rsid w:val="00EC4540"/>
    <w:rsid w:val="00EC4833"/>
    <w:rsid w:val="00EC7A79"/>
    <w:rsid w:val="00EC7D27"/>
    <w:rsid w:val="00ED0877"/>
    <w:rsid w:val="00ED12AC"/>
    <w:rsid w:val="00ED4F7C"/>
    <w:rsid w:val="00ED5DB8"/>
    <w:rsid w:val="00ED6DE0"/>
    <w:rsid w:val="00EE3513"/>
    <w:rsid w:val="00EE3EFC"/>
    <w:rsid w:val="00EF152A"/>
    <w:rsid w:val="00EF3654"/>
    <w:rsid w:val="00EF5D92"/>
    <w:rsid w:val="00F02112"/>
    <w:rsid w:val="00F03F8E"/>
    <w:rsid w:val="00F048AC"/>
    <w:rsid w:val="00F053BE"/>
    <w:rsid w:val="00F05585"/>
    <w:rsid w:val="00F0658E"/>
    <w:rsid w:val="00F079F0"/>
    <w:rsid w:val="00F149C7"/>
    <w:rsid w:val="00F16673"/>
    <w:rsid w:val="00F17C22"/>
    <w:rsid w:val="00F222D1"/>
    <w:rsid w:val="00F24295"/>
    <w:rsid w:val="00F26845"/>
    <w:rsid w:val="00F26FAB"/>
    <w:rsid w:val="00F2714E"/>
    <w:rsid w:val="00F2743B"/>
    <w:rsid w:val="00F3150B"/>
    <w:rsid w:val="00F32E99"/>
    <w:rsid w:val="00F3399F"/>
    <w:rsid w:val="00F360AD"/>
    <w:rsid w:val="00F40AD6"/>
    <w:rsid w:val="00F504BA"/>
    <w:rsid w:val="00F50F37"/>
    <w:rsid w:val="00F54B9C"/>
    <w:rsid w:val="00F568CD"/>
    <w:rsid w:val="00F64BD1"/>
    <w:rsid w:val="00F70B9E"/>
    <w:rsid w:val="00F800E9"/>
    <w:rsid w:val="00F9092A"/>
    <w:rsid w:val="00F909C0"/>
    <w:rsid w:val="00F930C2"/>
    <w:rsid w:val="00F95B43"/>
    <w:rsid w:val="00FA0167"/>
    <w:rsid w:val="00FA0961"/>
    <w:rsid w:val="00FA0D24"/>
    <w:rsid w:val="00FA2B48"/>
    <w:rsid w:val="00FA2EF4"/>
    <w:rsid w:val="00FB076F"/>
    <w:rsid w:val="00FB3090"/>
    <w:rsid w:val="00FB3F9C"/>
    <w:rsid w:val="00FB4615"/>
    <w:rsid w:val="00FC042B"/>
    <w:rsid w:val="00FC4B25"/>
    <w:rsid w:val="00FC5B4B"/>
    <w:rsid w:val="00FC61D8"/>
    <w:rsid w:val="00FC6921"/>
    <w:rsid w:val="00FC693F"/>
    <w:rsid w:val="00FC743A"/>
    <w:rsid w:val="00FC7ED4"/>
    <w:rsid w:val="00FD2121"/>
    <w:rsid w:val="00FD3970"/>
    <w:rsid w:val="00FD4519"/>
    <w:rsid w:val="00FD4CFA"/>
    <w:rsid w:val="00FD6F8D"/>
    <w:rsid w:val="00FD72EA"/>
    <w:rsid w:val="00FD78E3"/>
    <w:rsid w:val="00FE0B27"/>
    <w:rsid w:val="00FE176E"/>
    <w:rsid w:val="00FE179D"/>
    <w:rsid w:val="00FE2EF1"/>
    <w:rsid w:val="00FE3ED0"/>
    <w:rsid w:val="00FE4315"/>
    <w:rsid w:val="00FE518F"/>
    <w:rsid w:val="00FE7C8C"/>
    <w:rsid w:val="00FF47E4"/>
    <w:rsid w:val="00FF4878"/>
    <w:rsid w:val="00FF4E76"/>
    <w:rsid w:val="00FF5428"/>
    <w:rsid w:val="0ED984F8"/>
    <w:rsid w:val="1023E7EB"/>
    <w:rsid w:val="109D63C5"/>
    <w:rsid w:val="1E3424FD"/>
    <w:rsid w:val="25B290E0"/>
    <w:rsid w:val="29BFBB23"/>
    <w:rsid w:val="2CCFDA62"/>
    <w:rsid w:val="34C13BC0"/>
    <w:rsid w:val="34C5D4DE"/>
    <w:rsid w:val="372D9602"/>
    <w:rsid w:val="3AA21A84"/>
    <w:rsid w:val="463BE457"/>
    <w:rsid w:val="475CF5D6"/>
    <w:rsid w:val="47A2770C"/>
    <w:rsid w:val="4B1BCF9C"/>
    <w:rsid w:val="4E9291A2"/>
    <w:rsid w:val="55C033CC"/>
    <w:rsid w:val="5F92518E"/>
    <w:rsid w:val="5FC86195"/>
    <w:rsid w:val="67A52AB1"/>
    <w:rsid w:val="76285819"/>
    <w:rsid w:val="76CFBDA4"/>
    <w:rsid w:val="7F555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F4DD0F"/>
  <w14:defaultImageDpi w14:val="330"/>
  <w15:docId w15:val="{75E22D47-24C7-4712-99AE-5B2BCF91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
    <w:name w:val="Table Grid1"/>
    <w:basedOn w:val="TableNormal"/>
    <w:next w:val="TableGrid"/>
    <w:uiPriority w:val="39"/>
    <w:rsid w:val="00136BD7"/>
    <w:pPr>
      <w:spacing w:after="0" w:line="240" w:lineRule="auto"/>
    </w:pPr>
    <w:rPr>
      <w:rFonts w:eastAsia="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B70B1"/>
    <w:pPr>
      <w:spacing w:after="0" w:line="240" w:lineRule="auto"/>
    </w:pPr>
    <w:rPr>
      <w:rFonts w:eastAsia="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07F07"/>
    <w:pPr>
      <w:spacing w:after="0" w:line="240" w:lineRule="auto"/>
    </w:pPr>
  </w:style>
  <w:style w:type="paragraph" w:styleId="NormalWeb">
    <w:name w:val="Normal (Web)"/>
    <w:basedOn w:val="Normal"/>
    <w:uiPriority w:val="99"/>
    <w:semiHidden/>
    <w:unhideWhenUsed/>
    <w:rsid w:val="00FE7C8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011D6"/>
    <w:rPr>
      <w:sz w:val="16"/>
      <w:szCs w:val="16"/>
    </w:rPr>
  </w:style>
  <w:style w:type="paragraph" w:styleId="CommentText">
    <w:name w:val="annotation text"/>
    <w:basedOn w:val="Normal"/>
    <w:link w:val="CommentTextChar"/>
    <w:uiPriority w:val="99"/>
    <w:unhideWhenUsed/>
    <w:rsid w:val="00A011D6"/>
    <w:pPr>
      <w:spacing w:line="240" w:lineRule="auto"/>
    </w:pPr>
    <w:rPr>
      <w:sz w:val="20"/>
      <w:szCs w:val="20"/>
    </w:rPr>
  </w:style>
  <w:style w:type="character" w:customStyle="1" w:styleId="CommentTextChar">
    <w:name w:val="Comment Text Char"/>
    <w:basedOn w:val="DefaultParagraphFont"/>
    <w:link w:val="CommentText"/>
    <w:uiPriority w:val="99"/>
    <w:rsid w:val="00A011D6"/>
    <w:rPr>
      <w:sz w:val="20"/>
      <w:szCs w:val="20"/>
    </w:rPr>
  </w:style>
  <w:style w:type="paragraph" w:styleId="CommentSubject">
    <w:name w:val="annotation subject"/>
    <w:basedOn w:val="CommentText"/>
    <w:next w:val="CommentText"/>
    <w:link w:val="CommentSubjectChar"/>
    <w:uiPriority w:val="99"/>
    <w:semiHidden/>
    <w:unhideWhenUsed/>
    <w:rsid w:val="00A011D6"/>
    <w:rPr>
      <w:b/>
      <w:bCs/>
    </w:rPr>
  </w:style>
  <w:style w:type="character" w:customStyle="1" w:styleId="CommentSubjectChar">
    <w:name w:val="Comment Subject Char"/>
    <w:basedOn w:val="CommentTextChar"/>
    <w:link w:val="CommentSubject"/>
    <w:uiPriority w:val="99"/>
    <w:semiHidden/>
    <w:rsid w:val="00A011D6"/>
    <w:rPr>
      <w:b/>
      <w:bCs/>
      <w:sz w:val="20"/>
      <w:szCs w:val="20"/>
    </w:rPr>
  </w:style>
  <w:style w:type="character" w:styleId="Hyperlink">
    <w:name w:val="Hyperlink"/>
    <w:basedOn w:val="DefaultParagraphFont"/>
    <w:uiPriority w:val="99"/>
    <w:unhideWhenUsed/>
    <w:rsid w:val="00323494"/>
    <w:rPr>
      <w:color w:val="0000FF" w:themeColor="hyperlink"/>
      <w:u w:val="single"/>
    </w:rPr>
  </w:style>
  <w:style w:type="character" w:styleId="UnresolvedMention">
    <w:name w:val="Unresolved Mention"/>
    <w:basedOn w:val="DefaultParagraphFont"/>
    <w:uiPriority w:val="99"/>
    <w:semiHidden/>
    <w:unhideWhenUsed/>
    <w:rsid w:val="00323494"/>
    <w:rPr>
      <w:color w:val="605E5C"/>
      <w:shd w:val="clear" w:color="auto" w:fill="E1DFDD"/>
    </w:rPr>
  </w:style>
  <w:style w:type="character" w:styleId="Mention">
    <w:name w:val="Mention"/>
    <w:basedOn w:val="DefaultParagraphFont"/>
    <w:uiPriority w:val="99"/>
    <w:unhideWhenUsed/>
    <w:rsid w:val="00AB081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329415">
      <w:bodyDiv w:val="1"/>
      <w:marLeft w:val="0"/>
      <w:marRight w:val="0"/>
      <w:marTop w:val="0"/>
      <w:marBottom w:val="0"/>
      <w:divBdr>
        <w:top w:val="none" w:sz="0" w:space="0" w:color="auto"/>
        <w:left w:val="none" w:sz="0" w:space="0" w:color="auto"/>
        <w:bottom w:val="none" w:sz="0" w:space="0" w:color="auto"/>
        <w:right w:val="none" w:sz="0" w:space="0" w:color="auto"/>
      </w:divBdr>
    </w:div>
    <w:div w:id="13041215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ct.gov/das/ctsource/ctsource-resources?language=en_US" TargetMode="External"/><Relationship Id="rId18" Type="http://schemas.openxmlformats.org/officeDocument/2006/relationships/hyperlink" Target="mailto:Leslie.cote@ct.gov"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core-ct.state.ct.us/PUM-TandS/CP-TS-MainPage.aspx" TargetMode="External"/><Relationship Id="rId17" Type="http://schemas.openxmlformats.org/officeDocument/2006/relationships/hyperlink" Target="mailto:das.ctsource@ct.gov" TargetMode="External"/><Relationship Id="rId2" Type="http://schemas.openxmlformats.org/officeDocument/2006/relationships/customXml" Target="../customXml/item2.xml"/><Relationship Id="rId16" Type="http://schemas.openxmlformats.org/officeDocument/2006/relationships/hyperlink" Target="https://www.core-ct.state.ct.us/PUM-TandS/CP-TS-Legend-FIN-PCard.aspx" TargetMode="External"/><Relationship Id="rId20" Type="http://schemas.openxmlformats.org/officeDocument/2006/relationships/hyperlink" Target="https://www.cga.ct.gov/current/pub/chap_058.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s.ctsource@ct.go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re-ct.state.ct.us/PUM-TandS/TandS-Materials/FIN/JobAids/Purchasing-Upgrade/General%20Letter%20Purchasing%20Authorities%20Discontinued.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ore-ct.state.ct.us/PUM-TandS/TandS-Materials/FIN/JobAids/ProCont-Upgrade/Create%20a%20Contrac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as/procurement/contracting/das-procurement-agency-informational-resources/how-to?language=en_U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58f63d9-30c5-40e6-be6e-84897ac69b5c">
      <Terms xmlns="http://schemas.microsoft.com/office/infopath/2007/PartnerControls"/>
    </lcf76f155ced4ddcb4097134ff3c332f>
    <TaxCatchAll xmlns="77708f7e-7087-46f9-9e12-5bad98e7a462"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28BC396127DE42BA01B5DDA8638BCE" ma:contentTypeVersion="18" ma:contentTypeDescription="Create a new document." ma:contentTypeScope="" ma:versionID="e47fa2fd4caa23347b22da7b8e2e5d6b">
  <xsd:schema xmlns:xsd="http://www.w3.org/2001/XMLSchema" xmlns:xs="http://www.w3.org/2001/XMLSchema" xmlns:p="http://schemas.microsoft.com/office/2006/metadata/properties" xmlns:ns1="http://schemas.microsoft.com/sharepoint/v3" xmlns:ns2="e58f63d9-30c5-40e6-be6e-84897ac69b5c" xmlns:ns3="77708f7e-7087-46f9-9e12-5bad98e7a462" targetNamespace="http://schemas.microsoft.com/office/2006/metadata/properties" ma:root="true" ma:fieldsID="a911c093f492974d711eebed5e302687" ns1:_="" ns2:_="" ns3:_="">
    <xsd:import namespace="http://schemas.microsoft.com/sharepoint/v3"/>
    <xsd:import namespace="e58f63d9-30c5-40e6-be6e-84897ac69b5c"/>
    <xsd:import namespace="77708f7e-7087-46f9-9e12-5bad98e7a462"/>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8f63d9-30c5-40e6-be6e-84897ac69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08f7e-7087-46f9-9e12-5bad98e7a4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04268c-bab7-41a2-99cb-6890d2f7cf62}" ma:internalName="TaxCatchAll" ma:showField="CatchAllData" ma:web="77708f7e-7087-46f9-9e12-5bad98e7a4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38161-0136-4E59-9873-0DA01A9971BF}">
  <ds:schemaRefs>
    <ds:schemaRef ds:uri="http://schemas.microsoft.com/sharepoint/v3/contenttype/forms"/>
  </ds:schemaRefs>
</ds:datastoreItem>
</file>

<file path=customXml/itemProps2.xml><?xml version="1.0" encoding="utf-8"?>
<ds:datastoreItem xmlns:ds="http://schemas.openxmlformats.org/officeDocument/2006/customXml" ds:itemID="{62F06CC8-B597-40D7-90CC-624324DE762D}">
  <ds:schemaRefs>
    <ds:schemaRef ds:uri="http://schemas.microsoft.com/office/2006/metadata/properties"/>
    <ds:schemaRef ds:uri="http://schemas.microsoft.com/office/infopath/2007/PartnerControls"/>
    <ds:schemaRef ds:uri="http://schemas.microsoft.com/sharepoint/v3"/>
    <ds:schemaRef ds:uri="e58f63d9-30c5-40e6-be6e-84897ac69b5c"/>
    <ds:schemaRef ds:uri="77708f7e-7087-46f9-9e12-5bad98e7a462"/>
  </ds:schemaRefs>
</ds:datastoreItem>
</file>

<file path=customXml/itemProps3.xml><?xml version="1.0" encoding="utf-8"?>
<ds:datastoreItem xmlns:ds="http://schemas.openxmlformats.org/officeDocument/2006/customXml" ds:itemID="{BBCF05D1-A709-4D25-92F2-40486F465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8f63d9-30c5-40e6-be6e-84897ac69b5c"/>
    <ds:schemaRef ds:uri="77708f7e-7087-46f9-9e12-5bad98e7a4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5330</Words>
  <Characters>30383</Characters>
  <Application>Microsoft Office Word</Application>
  <DocSecurity>0</DocSecurity>
  <Lines>253</Lines>
  <Paragraphs>71</Paragraphs>
  <ScaleCrop>false</ScaleCrop>
  <Manager/>
  <Company/>
  <LinksUpToDate>false</LinksUpToDate>
  <CharactersWithSpaces>35642</CharactersWithSpaces>
  <SharedDoc>false</SharedDoc>
  <HyperlinkBase/>
  <HLinks>
    <vt:vector size="12" baseType="variant">
      <vt:variant>
        <vt:i4>2228257</vt:i4>
      </vt:variant>
      <vt:variant>
        <vt:i4>3</vt:i4>
      </vt:variant>
      <vt:variant>
        <vt:i4>0</vt:i4>
      </vt:variant>
      <vt:variant>
        <vt:i4>5</vt:i4>
      </vt:variant>
      <vt:variant>
        <vt:lpwstr>https://www.core-ct.state.ct.us/PUM-TandS/TandS-Materials/FIN/JobAids/ProCont-Upgrade/Create a Contract.pdf</vt:lpwstr>
      </vt:variant>
      <vt:variant>
        <vt:lpwstr/>
      </vt:variant>
      <vt:variant>
        <vt:i4>6291563</vt:i4>
      </vt:variant>
      <vt:variant>
        <vt:i4>0</vt:i4>
      </vt:variant>
      <vt:variant>
        <vt:i4>0</vt:i4>
      </vt:variant>
      <vt:variant>
        <vt:i4>5</vt:i4>
      </vt:variant>
      <vt:variant>
        <vt:lpwstr>https://www.core-ct.state.ct.us/PUM-TandS/TandS-Materials/FIN/JobAids/Purchasing-Upgrade/General Letter Purchasing Authorities Discontinued.pdf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Gagne, Geri-Lynne</cp:lastModifiedBy>
  <cp:revision>71</cp:revision>
  <dcterms:created xsi:type="dcterms:W3CDTF">2025-07-16T20:16:00Z</dcterms:created>
  <dcterms:modified xsi:type="dcterms:W3CDTF">2025-07-18T21:05:00Z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0x0101003528BC396127DE42BA01B5DDA8638BCE</vt:lpwstr>
  </property>
  <property fmtid="{D5CDD505-2E9C-101B-9397-08002B2CF9AE}" pid="3" name="MediaServiceImageTags">
    <vt:lpwstr/>
  </property>
</Properties>
</file>